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87AA" w14:textId="63C75F58" w:rsidR="00D360F9" w:rsidRPr="001532B2" w:rsidRDefault="00411FE7" w:rsidP="00D360F9">
      <w:pPr>
        <w:widowControl w:val="0"/>
        <w:jc w:val="both"/>
        <w:rPr>
          <w:bCs/>
          <w:sz w:val="24"/>
          <w:szCs w:val="24"/>
        </w:rPr>
      </w:pPr>
      <w:bookmarkStart w:id="0" w:name="_GoBack"/>
      <w:bookmarkEnd w:id="0"/>
      <w:r>
        <w:rPr>
          <w:b/>
          <w:sz w:val="24"/>
          <w:szCs w:val="24"/>
        </w:rPr>
        <w:t>D</w:t>
      </w:r>
      <w:r w:rsidR="00D360F9" w:rsidRPr="00D24609">
        <w:rPr>
          <w:b/>
          <w:sz w:val="24"/>
          <w:szCs w:val="24"/>
        </w:rPr>
        <w:t>.</w:t>
      </w:r>
      <w:r w:rsidR="00D360F9" w:rsidRPr="00D24609">
        <w:rPr>
          <w:b/>
          <w:sz w:val="24"/>
          <w:szCs w:val="24"/>
        </w:rPr>
        <w:tab/>
        <w:t xml:space="preserve">NO NET LOSS FLOODPLAIN STORAGE </w:t>
      </w:r>
      <w:r w:rsidR="00D360F9">
        <w:rPr>
          <w:b/>
          <w:sz w:val="24"/>
          <w:szCs w:val="24"/>
        </w:rPr>
        <w:t>REQUIREMENTS</w:t>
      </w:r>
      <w:r w:rsidR="001532B2">
        <w:rPr>
          <w:b/>
          <w:sz w:val="24"/>
          <w:szCs w:val="24"/>
        </w:rPr>
        <w:t xml:space="preserve"> </w:t>
      </w:r>
      <w:r w:rsidR="001532B2">
        <w:rPr>
          <w:bCs/>
          <w:sz w:val="24"/>
          <w:szCs w:val="24"/>
        </w:rPr>
        <w:t>(Updated 06/15/2021)</w:t>
      </w:r>
    </w:p>
    <w:p w14:paraId="5EF330AB" w14:textId="77777777" w:rsidR="00D360F9" w:rsidRPr="00D24609" w:rsidRDefault="00D360F9" w:rsidP="00D360F9">
      <w:pPr>
        <w:widowControl w:val="0"/>
        <w:ind w:left="720" w:hanging="720"/>
        <w:jc w:val="both"/>
        <w:rPr>
          <w:sz w:val="24"/>
          <w:szCs w:val="24"/>
        </w:rPr>
      </w:pPr>
      <w:r w:rsidRPr="00D24609">
        <w:rPr>
          <w:sz w:val="24"/>
          <w:szCs w:val="24"/>
        </w:rPr>
        <w:tab/>
      </w:r>
    </w:p>
    <w:p w14:paraId="329EEB89" w14:textId="77777777" w:rsidR="00D360F9" w:rsidRPr="00D24609" w:rsidRDefault="00D360F9" w:rsidP="00D360F9">
      <w:pPr>
        <w:widowControl w:val="0"/>
        <w:jc w:val="both"/>
        <w:rPr>
          <w:sz w:val="24"/>
          <w:szCs w:val="24"/>
        </w:rPr>
      </w:pPr>
      <w:r w:rsidRPr="00D24609">
        <w:rPr>
          <w:sz w:val="24"/>
          <w:szCs w:val="24"/>
        </w:rPr>
        <w:t>Floodplains exist adjacent to all natural and man-made streams, regardless of contributing drainage area or whether they have been previously identified or mapped.  Due to potential impacts of floodplain loss on peak flows in streams</w:t>
      </w:r>
      <w:r>
        <w:rPr>
          <w:sz w:val="24"/>
          <w:szCs w:val="24"/>
        </w:rPr>
        <w:t>, on streambank erosion,</w:t>
      </w:r>
      <w:r w:rsidRPr="00D24609">
        <w:rPr>
          <w:sz w:val="24"/>
          <w:szCs w:val="24"/>
        </w:rPr>
        <w:t xml:space="preserve"> and on the environment, disturbance to floodplains </w:t>
      </w:r>
      <w:r>
        <w:rPr>
          <w:sz w:val="24"/>
          <w:szCs w:val="24"/>
        </w:rPr>
        <w:t>must</w:t>
      </w:r>
      <w:r w:rsidRPr="00D24609">
        <w:rPr>
          <w:sz w:val="24"/>
          <w:szCs w:val="24"/>
        </w:rPr>
        <w:t xml:space="preserve"> be avoided.  </w:t>
      </w:r>
      <w:r>
        <w:rPr>
          <w:sz w:val="24"/>
          <w:szCs w:val="24"/>
        </w:rPr>
        <w:t>In rare circumstances w</w:t>
      </w:r>
      <w:r w:rsidRPr="00D24609">
        <w:rPr>
          <w:sz w:val="24"/>
          <w:szCs w:val="24"/>
        </w:rPr>
        <w:t>hen the avoidance of floodplain disturbance is not practical, the natural functions of the floodplain should be preserved to the extent possible.</w:t>
      </w:r>
    </w:p>
    <w:p w14:paraId="15BEB153" w14:textId="77777777" w:rsidR="00D360F9" w:rsidRPr="00D24609" w:rsidRDefault="00D360F9" w:rsidP="00D360F9">
      <w:pPr>
        <w:widowControl w:val="0"/>
        <w:jc w:val="both"/>
        <w:rPr>
          <w:sz w:val="24"/>
          <w:szCs w:val="24"/>
        </w:rPr>
      </w:pPr>
    </w:p>
    <w:p w14:paraId="4FA58CBA" w14:textId="77777777" w:rsidR="00D360F9" w:rsidRPr="00D24609" w:rsidRDefault="00D360F9" w:rsidP="00D360F9">
      <w:pPr>
        <w:widowControl w:val="0"/>
        <w:jc w:val="both"/>
        <w:rPr>
          <w:sz w:val="24"/>
          <w:szCs w:val="24"/>
        </w:rPr>
      </w:pPr>
      <w:r>
        <w:rPr>
          <w:sz w:val="24"/>
          <w:szCs w:val="24"/>
        </w:rPr>
        <w:t xml:space="preserve">Due to proven negative impacts of loss of floodplains, it is the Boone County’s policy to strongly discourage and disincentivize floodplain development.  When disturbance within floodplain cannot be avoided, </w:t>
      </w:r>
      <w:r w:rsidRPr="00223B9A">
        <w:rPr>
          <w:sz w:val="24"/>
          <w:szCs w:val="24"/>
        </w:rPr>
        <w:t xml:space="preserve">compensatory excavation at least three times the floodplain storage lost shall be required for all activities within floodplain of streams located in the County </w:t>
      </w:r>
      <w:r w:rsidRPr="000F3C88">
        <w:rPr>
          <w:sz w:val="24"/>
          <w:szCs w:val="24"/>
        </w:rPr>
        <w:t>where drainage area of the stream is equal to or larger than 25 acres.</w:t>
      </w:r>
      <w:r w:rsidRPr="00223B9A">
        <w:rPr>
          <w:sz w:val="24"/>
          <w:szCs w:val="24"/>
        </w:rPr>
        <w:t xml:space="preserve">  </w:t>
      </w:r>
      <w:r w:rsidR="000F3C88" w:rsidRPr="00712178">
        <w:rPr>
          <w:sz w:val="24"/>
          <w:szCs w:val="24"/>
        </w:rPr>
        <w:t>For watersheds where the drainage area of the stream is at least 25 acres but less than 640 acres (one square mile) the project applicant of designer must contact the Boone County Surveyor’s Office for guidance on compensatory storage requirements.</w:t>
      </w:r>
      <w:r w:rsidR="000F3C88">
        <w:rPr>
          <w:sz w:val="24"/>
          <w:szCs w:val="24"/>
        </w:rPr>
        <w:t xml:space="preserve"> </w:t>
      </w:r>
      <w:r w:rsidRPr="00223B9A">
        <w:rPr>
          <w:sz w:val="24"/>
          <w:szCs w:val="24"/>
        </w:rPr>
        <w:t>The Boone County Drainage Board and/or Boone County Surveyor may increase the compensation ratio, based on extenuating circumstances, for a specific project.</w:t>
      </w:r>
      <w:r>
        <w:rPr>
          <w:sz w:val="24"/>
          <w:szCs w:val="24"/>
        </w:rPr>
        <w:t xml:space="preserve"> </w:t>
      </w:r>
      <w:r>
        <w:rPr>
          <w:sz w:val="24"/>
        </w:rPr>
        <w:t>Note that the provision of this section applies to all unincorporated areas within the jurisdiction of Boone County as well as areas within incorporated towns and cities that are located in the watershed of a Boone County regulated drain.</w:t>
      </w:r>
    </w:p>
    <w:p w14:paraId="1D1491AA" w14:textId="77777777" w:rsidR="00D360F9" w:rsidRPr="00D24609" w:rsidRDefault="00D360F9" w:rsidP="00D360F9">
      <w:pPr>
        <w:widowControl w:val="0"/>
        <w:jc w:val="both"/>
        <w:rPr>
          <w:sz w:val="24"/>
          <w:szCs w:val="24"/>
        </w:rPr>
      </w:pPr>
    </w:p>
    <w:p w14:paraId="3924F549" w14:textId="77777777" w:rsidR="00D360F9" w:rsidRPr="00D24609" w:rsidRDefault="00D360F9" w:rsidP="00D360F9">
      <w:pPr>
        <w:widowControl w:val="0"/>
        <w:jc w:val="both"/>
        <w:rPr>
          <w:b/>
          <w:i/>
          <w:sz w:val="24"/>
          <w:szCs w:val="24"/>
        </w:rPr>
      </w:pPr>
      <w:r w:rsidRPr="00D24609">
        <w:rPr>
          <w:b/>
          <w:i/>
          <w:sz w:val="24"/>
          <w:szCs w:val="24"/>
        </w:rPr>
        <w:t>General Requirements</w:t>
      </w:r>
    </w:p>
    <w:p w14:paraId="59E2B2C8" w14:textId="77777777" w:rsidR="00D360F9" w:rsidRPr="00D24609" w:rsidRDefault="00D360F9" w:rsidP="00D360F9">
      <w:pPr>
        <w:jc w:val="both"/>
        <w:rPr>
          <w:sz w:val="24"/>
          <w:szCs w:val="24"/>
        </w:rPr>
      </w:pPr>
      <w:r w:rsidRPr="00D24609">
        <w:rPr>
          <w:sz w:val="24"/>
          <w:szCs w:val="24"/>
        </w:rPr>
        <w:t xml:space="preserve">Note that by definition, compensatory storage is the replacement of the existing floodplain and, in rare exceptions, the floodway storage lost due to fill.  Compensatory storage is required when a portion of the floodplain is filled, occupied by a structure, or when as a result of a project a change in the channel hydraulics occurs that reduces the existing available floodplain storage.  Compensatory storage must: </w:t>
      </w:r>
    </w:p>
    <w:p w14:paraId="68F18483" w14:textId="77777777" w:rsidR="00D360F9" w:rsidRPr="00D24609" w:rsidRDefault="00D360F9" w:rsidP="00D360F9">
      <w:pPr>
        <w:jc w:val="both"/>
        <w:rPr>
          <w:sz w:val="24"/>
          <w:szCs w:val="24"/>
        </w:rPr>
      </w:pPr>
    </w:p>
    <w:p w14:paraId="147577F9" w14:textId="77777777" w:rsidR="00D360F9" w:rsidRDefault="00D360F9" w:rsidP="00D360F9">
      <w:pPr>
        <w:numPr>
          <w:ilvl w:val="1"/>
          <w:numId w:val="1"/>
        </w:numPr>
        <w:spacing w:after="200"/>
        <w:contextualSpacing/>
        <w:jc w:val="both"/>
        <w:rPr>
          <w:sz w:val="24"/>
          <w:szCs w:val="24"/>
        </w:rPr>
      </w:pPr>
      <w:r>
        <w:rPr>
          <w:sz w:val="24"/>
          <w:szCs w:val="24"/>
        </w:rPr>
        <w:t xml:space="preserve">Be provided regardless of whether the flooding source is mapped or whether flood elevations are published or not.  When flood elevations are not available for a flooding source that has </w:t>
      </w:r>
      <w:r w:rsidRPr="000F3C88">
        <w:rPr>
          <w:sz w:val="24"/>
          <w:szCs w:val="24"/>
        </w:rPr>
        <w:t>a drainage area equal to or larger than 25 acres</w:t>
      </w:r>
      <w:r>
        <w:rPr>
          <w:sz w:val="24"/>
          <w:szCs w:val="24"/>
        </w:rPr>
        <w:t xml:space="preserve"> but less than 640 acres, the applicant is to determine the 10-year and 100-year flood elevations at the site and get them approved by Boone County Surveyors Office prior to use for floodplain compensation calculations. For drainage areas larger than 640 acres, the calculated flood elevations shall require approval by IDNR.</w:t>
      </w:r>
    </w:p>
    <w:p w14:paraId="798851E3" w14:textId="77777777" w:rsidR="00D360F9" w:rsidRPr="00D24609" w:rsidRDefault="00D360F9" w:rsidP="00D360F9">
      <w:pPr>
        <w:numPr>
          <w:ilvl w:val="1"/>
          <w:numId w:val="1"/>
        </w:numPr>
        <w:spacing w:after="200"/>
        <w:contextualSpacing/>
        <w:jc w:val="both"/>
        <w:rPr>
          <w:sz w:val="24"/>
          <w:szCs w:val="24"/>
        </w:rPr>
      </w:pPr>
      <w:r w:rsidRPr="00D24609">
        <w:rPr>
          <w:sz w:val="24"/>
          <w:szCs w:val="24"/>
        </w:rPr>
        <w:t xml:space="preserve">Equal at least </w:t>
      </w:r>
      <w:r>
        <w:rPr>
          <w:sz w:val="24"/>
          <w:szCs w:val="24"/>
        </w:rPr>
        <w:t>3</w:t>
      </w:r>
      <w:r w:rsidRPr="00D24609">
        <w:rPr>
          <w:sz w:val="24"/>
          <w:szCs w:val="24"/>
        </w:rPr>
        <w:t xml:space="preserve"> times </w:t>
      </w:r>
      <w:r>
        <w:rPr>
          <w:sz w:val="24"/>
          <w:szCs w:val="24"/>
        </w:rPr>
        <w:t xml:space="preserve">(unless increased by the County due to extenuating circumstances on a case by case basis) </w:t>
      </w:r>
      <w:r w:rsidRPr="00D24609">
        <w:rPr>
          <w:sz w:val="24"/>
          <w:szCs w:val="24"/>
        </w:rPr>
        <w:t xml:space="preserve">the volume of flood storage lost below the 10-year and 100-year flood elevations; </w:t>
      </w:r>
    </w:p>
    <w:p w14:paraId="7DBA67C6" w14:textId="77777777" w:rsidR="00D360F9" w:rsidRPr="00D24609" w:rsidRDefault="00D360F9" w:rsidP="00D360F9">
      <w:pPr>
        <w:numPr>
          <w:ilvl w:val="1"/>
          <w:numId w:val="1"/>
        </w:numPr>
        <w:spacing w:after="200"/>
        <w:contextualSpacing/>
        <w:jc w:val="both"/>
        <w:rPr>
          <w:sz w:val="24"/>
          <w:szCs w:val="24"/>
        </w:rPr>
      </w:pPr>
      <w:r w:rsidRPr="00D24609">
        <w:rPr>
          <w:sz w:val="24"/>
          <w:szCs w:val="24"/>
        </w:rPr>
        <w:t xml:space="preserve">Be operational prior to placement of fill, structures, or other materials temporarily or permanently placed in the regulatory floodplain; </w:t>
      </w:r>
    </w:p>
    <w:p w14:paraId="732C0FF0" w14:textId="77777777" w:rsidR="00D360F9" w:rsidRDefault="00D360F9" w:rsidP="00D360F9">
      <w:pPr>
        <w:numPr>
          <w:ilvl w:val="1"/>
          <w:numId w:val="1"/>
        </w:numPr>
        <w:spacing w:after="200"/>
        <w:contextualSpacing/>
        <w:jc w:val="both"/>
        <w:rPr>
          <w:sz w:val="24"/>
          <w:szCs w:val="24"/>
        </w:rPr>
      </w:pPr>
      <w:r w:rsidRPr="00D24609">
        <w:rPr>
          <w:sz w:val="24"/>
          <w:szCs w:val="24"/>
        </w:rPr>
        <w:t>Be provided in the immediate vicinity of the flood storage lost, where practica</w:t>
      </w:r>
      <w:r>
        <w:rPr>
          <w:sz w:val="24"/>
          <w:szCs w:val="24"/>
        </w:rPr>
        <w:t>l</w:t>
      </w:r>
      <w:r w:rsidRPr="00D24609">
        <w:rPr>
          <w:sz w:val="24"/>
          <w:szCs w:val="24"/>
        </w:rPr>
        <w:t xml:space="preserve">; </w:t>
      </w:r>
    </w:p>
    <w:p w14:paraId="7C6C5183" w14:textId="77777777" w:rsidR="00D360F9" w:rsidRPr="00D24609" w:rsidRDefault="00D360F9" w:rsidP="00D360F9">
      <w:pPr>
        <w:numPr>
          <w:ilvl w:val="1"/>
          <w:numId w:val="1"/>
        </w:numPr>
        <w:spacing w:after="200"/>
        <w:contextualSpacing/>
        <w:jc w:val="both"/>
        <w:rPr>
          <w:sz w:val="24"/>
          <w:szCs w:val="24"/>
        </w:rPr>
      </w:pPr>
      <w:r>
        <w:rPr>
          <w:sz w:val="24"/>
          <w:szCs w:val="24"/>
        </w:rPr>
        <w:t>Be provided in such a way to mimic as close as possible the function provided by the lost floodplain storage.  If the floodplain storage is to be lost outside the active flow conveyance path, then it must be compensated for outside the flow conveyance path (e.g., a flood conveyance shelf/2-stage ditch, while improving conveyance and erosion, is not an appropriate compensation for floodplain storage lost in the floodway fringe area).</w:t>
      </w:r>
    </w:p>
    <w:p w14:paraId="627FFB02" w14:textId="77777777" w:rsidR="00D360F9" w:rsidRPr="0028328F" w:rsidRDefault="00D360F9" w:rsidP="00D360F9">
      <w:pPr>
        <w:numPr>
          <w:ilvl w:val="1"/>
          <w:numId w:val="1"/>
        </w:numPr>
        <w:spacing w:after="200"/>
        <w:contextualSpacing/>
        <w:jc w:val="both"/>
        <w:rPr>
          <w:sz w:val="24"/>
          <w:szCs w:val="24"/>
        </w:rPr>
      </w:pPr>
      <w:r w:rsidRPr="0028328F">
        <w:rPr>
          <w:sz w:val="24"/>
          <w:szCs w:val="24"/>
        </w:rPr>
        <w:t xml:space="preserve">Be provided in addition to the site retention/detention volume and at a separate location (not allowed to be combined with the retention/detention pond); </w:t>
      </w:r>
    </w:p>
    <w:p w14:paraId="62CD75A2" w14:textId="77777777" w:rsidR="00D360F9" w:rsidRDefault="00D360F9" w:rsidP="00D360F9">
      <w:pPr>
        <w:numPr>
          <w:ilvl w:val="1"/>
          <w:numId w:val="1"/>
        </w:numPr>
        <w:spacing w:after="200"/>
        <w:contextualSpacing/>
        <w:jc w:val="both"/>
        <w:rPr>
          <w:sz w:val="24"/>
          <w:szCs w:val="24"/>
        </w:rPr>
      </w:pPr>
      <w:r w:rsidRPr="00D24609">
        <w:rPr>
          <w:sz w:val="24"/>
          <w:szCs w:val="24"/>
        </w:rPr>
        <w:t>Drain freely and openly to the waterway</w:t>
      </w:r>
      <w:r>
        <w:rPr>
          <w:sz w:val="24"/>
          <w:szCs w:val="24"/>
        </w:rPr>
        <w:t>: and</w:t>
      </w:r>
    </w:p>
    <w:p w14:paraId="7F26B5FE" w14:textId="77777777" w:rsidR="00D360F9" w:rsidRPr="00D24609" w:rsidRDefault="00D360F9" w:rsidP="00D360F9">
      <w:pPr>
        <w:numPr>
          <w:ilvl w:val="1"/>
          <w:numId w:val="1"/>
        </w:numPr>
        <w:spacing w:after="200"/>
        <w:contextualSpacing/>
        <w:jc w:val="both"/>
        <w:rPr>
          <w:sz w:val="24"/>
          <w:szCs w:val="24"/>
        </w:rPr>
      </w:pPr>
      <w:r>
        <w:rPr>
          <w:sz w:val="24"/>
          <w:szCs w:val="24"/>
        </w:rPr>
        <w:t>Be contained within an easement and included as part of the site’s perpetual maintenance agreement as well as the operation and maintenance plans</w:t>
      </w:r>
      <w:r w:rsidRPr="00D24609">
        <w:rPr>
          <w:sz w:val="24"/>
          <w:szCs w:val="24"/>
        </w:rPr>
        <w:t xml:space="preserve">. </w:t>
      </w:r>
    </w:p>
    <w:p w14:paraId="0B20D1EE" w14:textId="77777777" w:rsidR="00D360F9" w:rsidRPr="00D24609" w:rsidRDefault="00D360F9" w:rsidP="00D360F9">
      <w:pPr>
        <w:jc w:val="both"/>
        <w:rPr>
          <w:sz w:val="24"/>
          <w:szCs w:val="24"/>
        </w:rPr>
      </w:pPr>
    </w:p>
    <w:p w14:paraId="0522464C" w14:textId="77777777" w:rsidR="00D360F9" w:rsidRPr="00D24609" w:rsidRDefault="00D360F9" w:rsidP="00D360F9">
      <w:pPr>
        <w:jc w:val="both"/>
        <w:rPr>
          <w:sz w:val="24"/>
          <w:szCs w:val="24"/>
        </w:rPr>
      </w:pPr>
      <w:r w:rsidRPr="00D24609">
        <w:rPr>
          <w:sz w:val="24"/>
          <w:szCs w:val="24"/>
        </w:rPr>
        <w:lastRenderedPageBreak/>
        <w:t xml:space="preserve">Compensatory storage is also required to be provided incrementally such that: </w:t>
      </w:r>
    </w:p>
    <w:p w14:paraId="0EEF72E2" w14:textId="77777777" w:rsidR="00D360F9" w:rsidRPr="00D24609" w:rsidRDefault="00D360F9" w:rsidP="00D360F9">
      <w:pPr>
        <w:jc w:val="both"/>
        <w:rPr>
          <w:sz w:val="24"/>
          <w:szCs w:val="24"/>
        </w:rPr>
      </w:pPr>
    </w:p>
    <w:p w14:paraId="1316EE18" w14:textId="77777777" w:rsidR="00D360F9" w:rsidRDefault="00D360F9" w:rsidP="00D360F9">
      <w:pPr>
        <w:numPr>
          <w:ilvl w:val="1"/>
          <w:numId w:val="1"/>
        </w:numPr>
        <w:spacing w:after="200"/>
        <w:contextualSpacing/>
        <w:jc w:val="both"/>
        <w:rPr>
          <w:sz w:val="24"/>
          <w:szCs w:val="24"/>
        </w:rPr>
      </w:pPr>
      <w:r>
        <w:rPr>
          <w:sz w:val="24"/>
          <w:szCs w:val="24"/>
        </w:rPr>
        <w:t>All floodplain storage/conveyance capacity lost within the floodway shall be compensated for within the floodway;</w:t>
      </w:r>
    </w:p>
    <w:p w14:paraId="71B8C5B7" w14:textId="77777777" w:rsidR="00D360F9" w:rsidRDefault="00D360F9" w:rsidP="00D360F9">
      <w:pPr>
        <w:numPr>
          <w:ilvl w:val="1"/>
          <w:numId w:val="1"/>
        </w:numPr>
        <w:spacing w:after="200"/>
        <w:contextualSpacing/>
        <w:jc w:val="both"/>
        <w:rPr>
          <w:sz w:val="24"/>
          <w:szCs w:val="24"/>
        </w:rPr>
      </w:pPr>
      <w:r>
        <w:rPr>
          <w:sz w:val="24"/>
          <w:szCs w:val="24"/>
        </w:rPr>
        <w:t>All floodplain storage lost within the floodway fringe shall be compensated for within the floodway fringe;</w:t>
      </w:r>
    </w:p>
    <w:p w14:paraId="5885E3C2" w14:textId="77777777" w:rsidR="00D360F9" w:rsidRPr="00D24609" w:rsidRDefault="00D360F9" w:rsidP="00D360F9">
      <w:pPr>
        <w:numPr>
          <w:ilvl w:val="1"/>
          <w:numId w:val="1"/>
        </w:numPr>
        <w:spacing w:after="200"/>
        <w:contextualSpacing/>
        <w:jc w:val="both"/>
        <w:rPr>
          <w:sz w:val="24"/>
          <w:szCs w:val="24"/>
        </w:rPr>
      </w:pPr>
      <w:r w:rsidRPr="00D24609">
        <w:rPr>
          <w:sz w:val="24"/>
          <w:szCs w:val="24"/>
        </w:rPr>
        <w:t>All floodplain storage lost below the existing 10</w:t>
      </w:r>
      <w:r w:rsidRPr="00D24609">
        <w:rPr>
          <w:rFonts w:ascii="Cambria Math" w:hAnsi="Cambria Math" w:cs="Cambria Math"/>
          <w:sz w:val="24"/>
          <w:szCs w:val="24"/>
        </w:rPr>
        <w:t>‐</w:t>
      </w:r>
      <w:r w:rsidRPr="00D24609">
        <w:rPr>
          <w:sz w:val="24"/>
          <w:szCs w:val="24"/>
        </w:rPr>
        <w:t>year flood elevation shall be compensated for below the proposed 10</w:t>
      </w:r>
      <w:r w:rsidRPr="00D24609">
        <w:rPr>
          <w:rFonts w:ascii="Cambria Math" w:hAnsi="Cambria Math" w:cs="Cambria Math"/>
          <w:sz w:val="24"/>
          <w:szCs w:val="24"/>
        </w:rPr>
        <w:t>‐</w:t>
      </w:r>
      <w:r w:rsidRPr="00D24609">
        <w:rPr>
          <w:sz w:val="24"/>
          <w:szCs w:val="24"/>
        </w:rPr>
        <w:t>year flood elevation; and</w:t>
      </w:r>
    </w:p>
    <w:p w14:paraId="237F6112" w14:textId="77777777" w:rsidR="00D360F9" w:rsidRPr="00D24609" w:rsidRDefault="00D360F9" w:rsidP="00D360F9">
      <w:pPr>
        <w:numPr>
          <w:ilvl w:val="1"/>
          <w:numId w:val="1"/>
        </w:numPr>
        <w:spacing w:after="200"/>
        <w:contextualSpacing/>
        <w:jc w:val="both"/>
        <w:rPr>
          <w:sz w:val="24"/>
          <w:szCs w:val="24"/>
        </w:rPr>
      </w:pPr>
      <w:r w:rsidRPr="00D24609">
        <w:rPr>
          <w:sz w:val="24"/>
          <w:szCs w:val="24"/>
        </w:rPr>
        <w:t>All floodplain storage lost above the existing 10</w:t>
      </w:r>
      <w:r w:rsidRPr="00D24609">
        <w:rPr>
          <w:rFonts w:ascii="Cambria Math" w:hAnsi="Cambria Math" w:cs="Cambria Math"/>
          <w:sz w:val="24"/>
          <w:szCs w:val="24"/>
        </w:rPr>
        <w:t>‐</w:t>
      </w:r>
      <w:r w:rsidRPr="00D24609">
        <w:rPr>
          <w:sz w:val="24"/>
          <w:szCs w:val="24"/>
        </w:rPr>
        <w:t>year flood elevation shall be compensated for above the proposed 10</w:t>
      </w:r>
      <w:r w:rsidRPr="00D24609">
        <w:rPr>
          <w:rFonts w:ascii="Cambria Math" w:hAnsi="Cambria Math" w:cs="Cambria Math"/>
          <w:sz w:val="24"/>
          <w:szCs w:val="24"/>
        </w:rPr>
        <w:t>‐</w:t>
      </w:r>
      <w:r w:rsidRPr="00D24609">
        <w:rPr>
          <w:sz w:val="24"/>
          <w:szCs w:val="24"/>
        </w:rPr>
        <w:t xml:space="preserve">year flood elevation. </w:t>
      </w:r>
    </w:p>
    <w:p w14:paraId="68BBAFFA" w14:textId="77777777" w:rsidR="00D360F9" w:rsidRPr="00D24609" w:rsidRDefault="00D360F9" w:rsidP="00D360F9">
      <w:pPr>
        <w:jc w:val="both"/>
        <w:rPr>
          <w:sz w:val="24"/>
          <w:szCs w:val="24"/>
        </w:rPr>
      </w:pPr>
    </w:p>
    <w:p w14:paraId="035AEBC1" w14:textId="77777777" w:rsidR="00D360F9" w:rsidRDefault="00D360F9" w:rsidP="00D360F9">
      <w:pPr>
        <w:jc w:val="both"/>
        <w:rPr>
          <w:sz w:val="24"/>
          <w:szCs w:val="24"/>
        </w:rPr>
      </w:pPr>
      <w:r w:rsidRPr="00D24609">
        <w:rPr>
          <w:sz w:val="24"/>
          <w:szCs w:val="24"/>
        </w:rPr>
        <w:t>Note that compensatory storage is required for activities in the regulatory floodplain. There is no threshold to compensatory storage; any volume of fill requires compensatory storage be provided. However, the compensatory storage requirement does not apply to specific activities in the regulatory floodplain, such as the floodproofing of an existing building, where the floodproofing measures such as berms or floodwalls are within 10 feet of the building, or crossing improvements, where artificially created storage is lost due to a reduction in head loss.</w:t>
      </w:r>
    </w:p>
    <w:p w14:paraId="52130E19" w14:textId="77777777" w:rsidR="00D360F9" w:rsidRDefault="00D360F9" w:rsidP="00D360F9">
      <w:pPr>
        <w:jc w:val="both"/>
        <w:rPr>
          <w:sz w:val="24"/>
          <w:szCs w:val="24"/>
        </w:rPr>
      </w:pPr>
    </w:p>
    <w:p w14:paraId="3146AC7B" w14:textId="2066025B" w:rsidR="00411FE7" w:rsidRDefault="00411FE7" w:rsidP="00D360F9">
      <w:pPr>
        <w:jc w:val="both"/>
        <w:rPr>
          <w:sz w:val="24"/>
          <w:szCs w:val="24"/>
        </w:rPr>
      </w:pPr>
      <w:r>
        <w:rPr>
          <w:sz w:val="24"/>
          <w:szCs w:val="24"/>
        </w:rPr>
        <w:t xml:space="preserve">Also note that Fluvial Erosion Hazard (FEH) corridor, when identified and adopted by Boone County, as well as </w:t>
      </w:r>
      <w:r w:rsidRPr="00FA45A9">
        <w:rPr>
          <w:sz w:val="24"/>
          <w:szCs w:val="24"/>
        </w:rPr>
        <w:t>the regulatory floodway along regulated drains or any natural stream watercourse is considered an Impact Area and must be preserved to the extent possible</w:t>
      </w:r>
      <w:r>
        <w:rPr>
          <w:sz w:val="24"/>
          <w:szCs w:val="24"/>
        </w:rPr>
        <w:t xml:space="preserve"> </w:t>
      </w:r>
      <w:r w:rsidRPr="007136BC">
        <w:rPr>
          <w:sz w:val="24"/>
          <w:szCs w:val="24"/>
        </w:rPr>
        <w:t>to minimize flooding and erosion impacts within the stream system</w:t>
      </w:r>
      <w:r w:rsidRPr="00FA45A9">
        <w:rPr>
          <w:sz w:val="24"/>
          <w:szCs w:val="24"/>
        </w:rPr>
        <w:t xml:space="preserve">.  No </w:t>
      </w:r>
      <w:r>
        <w:rPr>
          <w:sz w:val="24"/>
          <w:szCs w:val="24"/>
        </w:rPr>
        <w:t>disturbance (</w:t>
      </w:r>
      <w:r w:rsidRPr="00FA45A9">
        <w:rPr>
          <w:sz w:val="24"/>
          <w:szCs w:val="24"/>
        </w:rPr>
        <w:t>fill or excavation</w:t>
      </w:r>
      <w:r>
        <w:rPr>
          <w:sz w:val="24"/>
          <w:szCs w:val="24"/>
        </w:rPr>
        <w:t>)</w:t>
      </w:r>
      <w:r w:rsidRPr="00FA45A9">
        <w:rPr>
          <w:sz w:val="24"/>
          <w:szCs w:val="24"/>
        </w:rPr>
        <w:t xml:space="preserve"> </w:t>
      </w:r>
      <w:r>
        <w:rPr>
          <w:sz w:val="24"/>
          <w:szCs w:val="24"/>
        </w:rPr>
        <w:t xml:space="preserve">associated with a new development or redevelopment </w:t>
      </w:r>
      <w:r w:rsidRPr="00FA45A9">
        <w:rPr>
          <w:sz w:val="24"/>
          <w:szCs w:val="24"/>
        </w:rPr>
        <w:t xml:space="preserve">is permitted within </w:t>
      </w:r>
      <w:r>
        <w:rPr>
          <w:sz w:val="24"/>
          <w:szCs w:val="24"/>
        </w:rPr>
        <w:t xml:space="preserve">FEH corridors or </w:t>
      </w:r>
      <w:r w:rsidRPr="00FA45A9">
        <w:rPr>
          <w:sz w:val="24"/>
          <w:szCs w:val="24"/>
        </w:rPr>
        <w:t>regulatory floodways</w:t>
      </w:r>
      <w:r>
        <w:rPr>
          <w:sz w:val="24"/>
          <w:szCs w:val="24"/>
        </w:rPr>
        <w:t>, unless such modifications are part of a stream-wide restoration plan or a watershed master plan.  Any streambank stabilization effort within an FEH corridor shall require prior review by the Boone County Drainage Board and/or the Boone County Surveyor to safeguard against potential negative impacts on other properties or on the stream morphological system</w:t>
      </w:r>
    </w:p>
    <w:p w14:paraId="47B9079E" w14:textId="77777777" w:rsidR="00411FE7" w:rsidRDefault="00411FE7" w:rsidP="00D360F9">
      <w:pPr>
        <w:jc w:val="both"/>
        <w:rPr>
          <w:sz w:val="24"/>
          <w:szCs w:val="24"/>
        </w:rPr>
      </w:pPr>
    </w:p>
    <w:p w14:paraId="4010BDC2" w14:textId="63D659FA" w:rsidR="00D360F9" w:rsidRPr="00D24609" w:rsidRDefault="00D360F9" w:rsidP="00D360F9">
      <w:pPr>
        <w:jc w:val="both"/>
        <w:rPr>
          <w:sz w:val="24"/>
          <w:szCs w:val="24"/>
        </w:rPr>
      </w:pPr>
      <w:r>
        <w:rPr>
          <w:sz w:val="24"/>
          <w:szCs w:val="24"/>
        </w:rPr>
        <w:t>There</w:t>
      </w:r>
      <w:r w:rsidRPr="00FA45A9">
        <w:rPr>
          <w:sz w:val="24"/>
          <w:szCs w:val="24"/>
        </w:rPr>
        <w:t xml:space="preserve"> shall be no reduction in floodway surface area as a result of a floodway modification, should excavation be allowed in special circumstances, unless such modification is </w:t>
      </w:r>
      <w:r>
        <w:rPr>
          <w:sz w:val="24"/>
          <w:szCs w:val="24"/>
        </w:rPr>
        <w:t xml:space="preserve">part of a stream-wide plan or </w:t>
      </w:r>
      <w:r w:rsidRPr="00FA45A9">
        <w:rPr>
          <w:sz w:val="24"/>
          <w:szCs w:val="24"/>
        </w:rPr>
        <w:t>necessary to reduce flooding at an existing structure.</w:t>
      </w:r>
    </w:p>
    <w:p w14:paraId="5D4C8BCC" w14:textId="77777777" w:rsidR="00D360F9" w:rsidRPr="00D24609" w:rsidRDefault="00D360F9" w:rsidP="00D360F9">
      <w:pPr>
        <w:jc w:val="both"/>
        <w:rPr>
          <w:sz w:val="24"/>
          <w:szCs w:val="24"/>
        </w:rPr>
      </w:pPr>
    </w:p>
    <w:p w14:paraId="5C9C0685" w14:textId="77777777" w:rsidR="00D360F9" w:rsidRPr="00D24609" w:rsidRDefault="00D360F9" w:rsidP="00D360F9">
      <w:pPr>
        <w:jc w:val="both"/>
        <w:rPr>
          <w:b/>
          <w:i/>
          <w:sz w:val="24"/>
          <w:szCs w:val="24"/>
        </w:rPr>
      </w:pPr>
      <w:r w:rsidRPr="00D24609">
        <w:rPr>
          <w:b/>
          <w:i/>
          <w:sz w:val="24"/>
          <w:szCs w:val="24"/>
        </w:rPr>
        <w:t>Computing Compensatory Storage</w:t>
      </w:r>
    </w:p>
    <w:p w14:paraId="68B30E5B" w14:textId="77777777" w:rsidR="00D360F9" w:rsidRPr="00D24609" w:rsidRDefault="00D360F9" w:rsidP="00D360F9">
      <w:pPr>
        <w:jc w:val="both"/>
        <w:rPr>
          <w:sz w:val="24"/>
          <w:szCs w:val="24"/>
        </w:rPr>
      </w:pPr>
      <w:r w:rsidRPr="00D24609">
        <w:rPr>
          <w:sz w:val="24"/>
          <w:szCs w:val="24"/>
        </w:rPr>
        <w:t xml:space="preserve">Computations must show </w:t>
      </w:r>
      <w:r>
        <w:rPr>
          <w:sz w:val="24"/>
          <w:szCs w:val="24"/>
        </w:rPr>
        <w:t>a minimum of 3</w:t>
      </w:r>
      <w:r w:rsidRPr="00D24609">
        <w:rPr>
          <w:sz w:val="24"/>
          <w:szCs w:val="24"/>
        </w:rPr>
        <w:t xml:space="preserve"> times compensation for floodplain storage volume lost for 10-year and 100-year storm events.  Storage lost between the existing ground and the existing 10</w:t>
      </w:r>
      <w:r w:rsidRPr="00D24609">
        <w:rPr>
          <w:rFonts w:ascii="Cambria Math" w:hAnsi="Cambria Math" w:cs="Cambria Math"/>
          <w:sz w:val="24"/>
          <w:szCs w:val="24"/>
        </w:rPr>
        <w:t>‐</w:t>
      </w:r>
      <w:r w:rsidRPr="00D24609">
        <w:rPr>
          <w:sz w:val="24"/>
          <w:szCs w:val="24"/>
        </w:rPr>
        <w:t xml:space="preserve">year flood elevation must be compensated by providing </w:t>
      </w:r>
      <w:r>
        <w:rPr>
          <w:sz w:val="24"/>
          <w:szCs w:val="24"/>
        </w:rPr>
        <w:t>a minimum of 3</w:t>
      </w:r>
      <w:r w:rsidRPr="00D24609">
        <w:rPr>
          <w:sz w:val="24"/>
          <w:szCs w:val="24"/>
        </w:rPr>
        <w:t xml:space="preserve"> time</w:t>
      </w:r>
      <w:r>
        <w:rPr>
          <w:sz w:val="24"/>
          <w:szCs w:val="24"/>
        </w:rPr>
        <w:t>s</w:t>
      </w:r>
      <w:r w:rsidRPr="00D24609">
        <w:rPr>
          <w:sz w:val="24"/>
          <w:szCs w:val="24"/>
        </w:rPr>
        <w:t xml:space="preserve"> the amount lost and be placed between the existing ground elevation and the proposed 10</w:t>
      </w:r>
      <w:r w:rsidRPr="00D24609">
        <w:rPr>
          <w:rFonts w:ascii="Cambria Math" w:hAnsi="Cambria Math" w:cs="Cambria Math"/>
          <w:sz w:val="24"/>
          <w:szCs w:val="24"/>
        </w:rPr>
        <w:t>‐</w:t>
      </w:r>
      <w:r w:rsidRPr="00D24609">
        <w:rPr>
          <w:sz w:val="24"/>
          <w:szCs w:val="24"/>
        </w:rPr>
        <w:t>year floodplain elevation. Storage lost between the existing 10-year and the existing 100</w:t>
      </w:r>
      <w:r w:rsidRPr="00D24609">
        <w:rPr>
          <w:rFonts w:ascii="Cambria Math" w:hAnsi="Cambria Math" w:cs="Cambria Math"/>
          <w:sz w:val="24"/>
          <w:szCs w:val="24"/>
        </w:rPr>
        <w:t>‐</w:t>
      </w:r>
      <w:r w:rsidRPr="00D24609">
        <w:rPr>
          <w:sz w:val="24"/>
          <w:szCs w:val="24"/>
        </w:rPr>
        <w:t>year elevation must be compensated by providing</w:t>
      </w:r>
      <w:r>
        <w:rPr>
          <w:sz w:val="24"/>
          <w:szCs w:val="24"/>
        </w:rPr>
        <w:t xml:space="preserve"> a minimum of 3</w:t>
      </w:r>
      <w:r w:rsidRPr="00D24609">
        <w:rPr>
          <w:sz w:val="24"/>
          <w:szCs w:val="24"/>
        </w:rPr>
        <w:t xml:space="preserve"> times the amount lost and be placed between the proposed 10</w:t>
      </w:r>
      <w:r w:rsidRPr="00D24609">
        <w:rPr>
          <w:rFonts w:ascii="Cambria Math" w:hAnsi="Cambria Math" w:cs="Cambria Math"/>
          <w:sz w:val="24"/>
          <w:szCs w:val="24"/>
        </w:rPr>
        <w:t>‐</w:t>
      </w:r>
      <w:r w:rsidRPr="00D24609">
        <w:rPr>
          <w:sz w:val="24"/>
          <w:szCs w:val="24"/>
        </w:rPr>
        <w:t xml:space="preserve">year </w:t>
      </w:r>
      <w:r>
        <w:rPr>
          <w:sz w:val="24"/>
          <w:szCs w:val="24"/>
        </w:rPr>
        <w:t xml:space="preserve">elevation </w:t>
      </w:r>
      <w:r w:rsidRPr="00D24609">
        <w:rPr>
          <w:sz w:val="24"/>
          <w:szCs w:val="24"/>
        </w:rPr>
        <w:t>and proposed 100</w:t>
      </w:r>
      <w:r w:rsidRPr="00D24609">
        <w:rPr>
          <w:rFonts w:ascii="Cambria Math" w:hAnsi="Cambria Math" w:cs="Cambria Math"/>
          <w:sz w:val="24"/>
          <w:szCs w:val="24"/>
        </w:rPr>
        <w:t>‐</w:t>
      </w:r>
      <w:r w:rsidRPr="00D24609">
        <w:rPr>
          <w:sz w:val="24"/>
          <w:szCs w:val="24"/>
        </w:rPr>
        <w:t>year</w:t>
      </w:r>
      <w:r>
        <w:rPr>
          <w:sz w:val="24"/>
          <w:szCs w:val="24"/>
        </w:rPr>
        <w:t xml:space="preserve"> elevation</w:t>
      </w:r>
      <w:r w:rsidRPr="00D24609">
        <w:rPr>
          <w:sz w:val="24"/>
          <w:szCs w:val="24"/>
        </w:rPr>
        <w:t>.</w:t>
      </w:r>
    </w:p>
    <w:p w14:paraId="383AA46E" w14:textId="77777777" w:rsidR="00D360F9" w:rsidRPr="00D24609" w:rsidRDefault="00D360F9" w:rsidP="00D360F9">
      <w:pPr>
        <w:jc w:val="both"/>
        <w:rPr>
          <w:sz w:val="24"/>
          <w:szCs w:val="24"/>
        </w:rPr>
      </w:pPr>
    </w:p>
    <w:p w14:paraId="3CC2F4F7" w14:textId="77777777" w:rsidR="00D360F9" w:rsidRPr="00D24609" w:rsidRDefault="00D360F9" w:rsidP="00D360F9">
      <w:pPr>
        <w:jc w:val="both"/>
        <w:rPr>
          <w:sz w:val="24"/>
          <w:szCs w:val="24"/>
        </w:rPr>
      </w:pPr>
      <w:r w:rsidRPr="00D24609">
        <w:rPr>
          <w:sz w:val="24"/>
          <w:szCs w:val="24"/>
        </w:rPr>
        <w:t xml:space="preserve">When preparing a grading plan, thought should be given to how compensatory storage will be quantified. The most common methodology is the use of cross sections and the “average end area method”. The following requirements should be followed when preparing cross sections: </w:t>
      </w:r>
    </w:p>
    <w:p w14:paraId="1E3C7BE1" w14:textId="77777777" w:rsidR="00D360F9" w:rsidRPr="00D24609" w:rsidRDefault="00D360F9" w:rsidP="00D360F9">
      <w:pPr>
        <w:jc w:val="both"/>
        <w:rPr>
          <w:sz w:val="24"/>
          <w:szCs w:val="24"/>
        </w:rPr>
      </w:pPr>
    </w:p>
    <w:p w14:paraId="1169198B" w14:textId="77777777" w:rsidR="00D360F9" w:rsidRPr="00D24609" w:rsidRDefault="00D360F9" w:rsidP="00D360F9">
      <w:pPr>
        <w:numPr>
          <w:ilvl w:val="0"/>
          <w:numId w:val="2"/>
        </w:numPr>
        <w:spacing w:after="200"/>
        <w:contextualSpacing/>
        <w:jc w:val="both"/>
        <w:rPr>
          <w:sz w:val="24"/>
          <w:szCs w:val="24"/>
        </w:rPr>
      </w:pPr>
      <w:r w:rsidRPr="00D24609">
        <w:rPr>
          <w:sz w:val="24"/>
          <w:szCs w:val="24"/>
        </w:rPr>
        <w:t xml:space="preserve">Prepare a detailed topographic survey tied to North American Vertical Datum of 1988 and the </w:t>
      </w:r>
      <w:r w:rsidRPr="00D357EF">
        <w:rPr>
          <w:sz w:val="24"/>
          <w:szCs w:val="24"/>
        </w:rPr>
        <w:t>local</w:t>
      </w:r>
      <w:r>
        <w:rPr>
          <w:i/>
          <w:sz w:val="24"/>
          <w:szCs w:val="24"/>
        </w:rPr>
        <w:t xml:space="preserve"> </w:t>
      </w:r>
      <w:r w:rsidRPr="00D24609">
        <w:rPr>
          <w:sz w:val="24"/>
          <w:szCs w:val="24"/>
        </w:rPr>
        <w:t xml:space="preserve">Survey Control Network benchmarks. </w:t>
      </w:r>
    </w:p>
    <w:p w14:paraId="0805A2D2" w14:textId="77777777" w:rsidR="00D360F9" w:rsidRPr="00D24609" w:rsidRDefault="00D360F9" w:rsidP="00D360F9">
      <w:pPr>
        <w:jc w:val="both"/>
        <w:rPr>
          <w:sz w:val="24"/>
          <w:szCs w:val="24"/>
        </w:rPr>
      </w:pPr>
    </w:p>
    <w:p w14:paraId="5B44040A" w14:textId="77777777" w:rsidR="00D360F9" w:rsidRPr="00D24609" w:rsidRDefault="00D360F9" w:rsidP="00D360F9">
      <w:pPr>
        <w:numPr>
          <w:ilvl w:val="0"/>
          <w:numId w:val="2"/>
        </w:numPr>
        <w:spacing w:after="200"/>
        <w:contextualSpacing/>
        <w:jc w:val="both"/>
        <w:rPr>
          <w:sz w:val="24"/>
          <w:szCs w:val="24"/>
        </w:rPr>
      </w:pPr>
      <w:r w:rsidRPr="00D24609">
        <w:rPr>
          <w:sz w:val="24"/>
          <w:szCs w:val="24"/>
        </w:rPr>
        <w:t xml:space="preserve">Locate cross sections parallel to each other and perpendicular to a reference line, often times a property line or fence line. Cross sections used in a hydraulic model are always perpendicular to </w:t>
      </w:r>
      <w:r w:rsidRPr="00D24609">
        <w:rPr>
          <w:sz w:val="24"/>
          <w:szCs w:val="24"/>
        </w:rPr>
        <w:lastRenderedPageBreak/>
        <w:t xml:space="preserve">flood flows, and not always parallel to each other. Therefore, these are often not suitable for computing flood fringe compensatory storage volumes. </w:t>
      </w:r>
    </w:p>
    <w:p w14:paraId="5B5BE4D9" w14:textId="77777777" w:rsidR="00D360F9" w:rsidRPr="00D24609" w:rsidRDefault="00D360F9" w:rsidP="00D360F9">
      <w:pPr>
        <w:jc w:val="both"/>
        <w:rPr>
          <w:sz w:val="24"/>
          <w:szCs w:val="24"/>
        </w:rPr>
      </w:pPr>
    </w:p>
    <w:p w14:paraId="6F674447" w14:textId="77777777" w:rsidR="00D360F9" w:rsidRPr="00D24609" w:rsidRDefault="00D360F9" w:rsidP="00D360F9">
      <w:pPr>
        <w:numPr>
          <w:ilvl w:val="0"/>
          <w:numId w:val="2"/>
        </w:numPr>
        <w:spacing w:after="200"/>
        <w:contextualSpacing/>
        <w:jc w:val="both"/>
        <w:rPr>
          <w:sz w:val="24"/>
          <w:szCs w:val="24"/>
        </w:rPr>
      </w:pPr>
      <w:r w:rsidRPr="00D24609">
        <w:rPr>
          <w:sz w:val="24"/>
          <w:szCs w:val="24"/>
        </w:rPr>
        <w:t>Plot cross sections at a standard engineering scale so as to allow the reviewer to verify areas. Horizontal scale should be a maximum of 1</w:t>
      </w:r>
      <w:r w:rsidR="003D2F4A">
        <w:rPr>
          <w:sz w:val="24"/>
          <w:szCs w:val="24"/>
        </w:rPr>
        <w:t xml:space="preserve"> inch </w:t>
      </w:r>
      <w:r w:rsidRPr="00D24609">
        <w:rPr>
          <w:sz w:val="24"/>
          <w:szCs w:val="24"/>
        </w:rPr>
        <w:t>=</w:t>
      </w:r>
      <w:r w:rsidR="003D2F4A">
        <w:rPr>
          <w:sz w:val="24"/>
          <w:szCs w:val="24"/>
        </w:rPr>
        <w:t xml:space="preserve"> </w:t>
      </w:r>
      <w:r w:rsidRPr="00D24609">
        <w:rPr>
          <w:sz w:val="24"/>
          <w:szCs w:val="24"/>
        </w:rPr>
        <w:t>50</w:t>
      </w:r>
      <w:r w:rsidR="003D2F4A">
        <w:rPr>
          <w:sz w:val="24"/>
          <w:szCs w:val="24"/>
        </w:rPr>
        <w:t xml:space="preserve"> feet</w:t>
      </w:r>
      <w:r w:rsidRPr="00D24609">
        <w:rPr>
          <w:sz w:val="24"/>
          <w:szCs w:val="24"/>
        </w:rPr>
        <w:t xml:space="preserve"> and vertical scale should be a maximum of 1</w:t>
      </w:r>
      <w:r w:rsidR="003D2F4A">
        <w:rPr>
          <w:sz w:val="24"/>
          <w:szCs w:val="24"/>
        </w:rPr>
        <w:t xml:space="preserve"> inch </w:t>
      </w:r>
      <w:r w:rsidRPr="00D24609">
        <w:rPr>
          <w:sz w:val="24"/>
          <w:szCs w:val="24"/>
        </w:rPr>
        <w:t>=</w:t>
      </w:r>
      <w:r w:rsidR="003D2F4A">
        <w:rPr>
          <w:sz w:val="24"/>
          <w:szCs w:val="24"/>
        </w:rPr>
        <w:t xml:space="preserve"> </w:t>
      </w:r>
      <w:r w:rsidRPr="00D24609">
        <w:rPr>
          <w:sz w:val="24"/>
          <w:szCs w:val="24"/>
        </w:rPr>
        <w:t>5</w:t>
      </w:r>
      <w:r w:rsidR="003D2F4A">
        <w:rPr>
          <w:sz w:val="24"/>
          <w:szCs w:val="24"/>
        </w:rPr>
        <w:t xml:space="preserve"> feet</w:t>
      </w:r>
      <w:r w:rsidRPr="00D24609">
        <w:rPr>
          <w:sz w:val="24"/>
          <w:szCs w:val="24"/>
        </w:rPr>
        <w:t xml:space="preserve">, or as approved by the County. </w:t>
      </w:r>
    </w:p>
    <w:p w14:paraId="67B343C3" w14:textId="77777777" w:rsidR="00D360F9" w:rsidRPr="00D24609" w:rsidRDefault="00D360F9" w:rsidP="00D360F9">
      <w:pPr>
        <w:jc w:val="both"/>
        <w:rPr>
          <w:sz w:val="24"/>
          <w:szCs w:val="24"/>
        </w:rPr>
      </w:pPr>
    </w:p>
    <w:p w14:paraId="633B864D" w14:textId="77777777" w:rsidR="00D360F9" w:rsidRPr="00D24609" w:rsidRDefault="00D360F9" w:rsidP="00D360F9">
      <w:pPr>
        <w:numPr>
          <w:ilvl w:val="0"/>
          <w:numId w:val="2"/>
        </w:numPr>
        <w:spacing w:after="200"/>
        <w:contextualSpacing/>
        <w:jc w:val="both"/>
        <w:rPr>
          <w:sz w:val="24"/>
          <w:szCs w:val="24"/>
        </w:rPr>
      </w:pPr>
      <w:r w:rsidRPr="00D24609">
        <w:rPr>
          <w:sz w:val="24"/>
          <w:szCs w:val="24"/>
        </w:rPr>
        <w:t>Show existing grades, proposed grades, existing and proposed 10</w:t>
      </w:r>
      <w:r w:rsidRPr="00D24609">
        <w:rPr>
          <w:rFonts w:ascii="Cambria Math" w:hAnsi="Cambria Math" w:cs="Cambria Math"/>
          <w:sz w:val="24"/>
          <w:szCs w:val="24"/>
        </w:rPr>
        <w:t>‐</w:t>
      </w:r>
      <w:r w:rsidRPr="00D24609">
        <w:rPr>
          <w:sz w:val="24"/>
          <w:szCs w:val="24"/>
        </w:rPr>
        <w:t>year flood elevations, existing and proposed 100</w:t>
      </w:r>
      <w:r w:rsidRPr="00D24609">
        <w:rPr>
          <w:rFonts w:ascii="Cambria Math" w:hAnsi="Cambria Math" w:cs="Cambria Math"/>
          <w:sz w:val="24"/>
          <w:szCs w:val="24"/>
        </w:rPr>
        <w:t>‐</w:t>
      </w:r>
      <w:r w:rsidRPr="00D24609">
        <w:rPr>
          <w:sz w:val="24"/>
          <w:szCs w:val="24"/>
        </w:rPr>
        <w:t xml:space="preserve">year flood elevations, normal water level, a reference line, and floodway limits on the cross sections on the plans. </w:t>
      </w:r>
    </w:p>
    <w:p w14:paraId="7D9C187A" w14:textId="77777777" w:rsidR="00D360F9" w:rsidRPr="00D24609" w:rsidRDefault="00D360F9" w:rsidP="00D360F9">
      <w:pPr>
        <w:numPr>
          <w:ilvl w:val="0"/>
          <w:numId w:val="2"/>
        </w:numPr>
        <w:spacing w:after="200"/>
        <w:contextualSpacing/>
        <w:jc w:val="both"/>
        <w:rPr>
          <w:sz w:val="24"/>
          <w:szCs w:val="24"/>
        </w:rPr>
      </w:pPr>
      <w:r w:rsidRPr="00D24609">
        <w:rPr>
          <w:sz w:val="24"/>
          <w:szCs w:val="24"/>
        </w:rPr>
        <w:t xml:space="preserve">Locate cross sections no more than 150 feet apart, with a minimum of three cross sections per cut/fill area, or as necessary to accurately quantify cuts and fills. </w:t>
      </w:r>
    </w:p>
    <w:p w14:paraId="6863FEB9" w14:textId="77777777" w:rsidR="00D360F9" w:rsidRPr="00D24609" w:rsidRDefault="00D360F9" w:rsidP="00D360F9">
      <w:pPr>
        <w:jc w:val="both"/>
        <w:rPr>
          <w:sz w:val="24"/>
          <w:szCs w:val="24"/>
        </w:rPr>
      </w:pPr>
    </w:p>
    <w:p w14:paraId="5F2FE987" w14:textId="77777777" w:rsidR="00D360F9" w:rsidRPr="00D24609" w:rsidRDefault="00D360F9" w:rsidP="00D360F9">
      <w:pPr>
        <w:numPr>
          <w:ilvl w:val="0"/>
          <w:numId w:val="2"/>
        </w:numPr>
        <w:spacing w:after="200"/>
        <w:contextualSpacing/>
        <w:jc w:val="both"/>
        <w:rPr>
          <w:sz w:val="24"/>
          <w:szCs w:val="24"/>
        </w:rPr>
      </w:pPr>
      <w:r w:rsidRPr="00D24609">
        <w:rPr>
          <w:sz w:val="24"/>
          <w:szCs w:val="24"/>
        </w:rPr>
        <w:t xml:space="preserve">Locate cross sections to pick up critical features such as berms, ditches, and existing and proposed structures. </w:t>
      </w:r>
    </w:p>
    <w:p w14:paraId="4C1ED694" w14:textId="77777777" w:rsidR="00D360F9" w:rsidRPr="00D24609" w:rsidRDefault="00D360F9" w:rsidP="00D360F9">
      <w:pPr>
        <w:jc w:val="both"/>
        <w:rPr>
          <w:sz w:val="24"/>
          <w:szCs w:val="24"/>
        </w:rPr>
      </w:pPr>
    </w:p>
    <w:p w14:paraId="561AD33E" w14:textId="77777777" w:rsidR="00D360F9" w:rsidRPr="00D24609" w:rsidRDefault="00D360F9" w:rsidP="00D360F9">
      <w:pPr>
        <w:numPr>
          <w:ilvl w:val="0"/>
          <w:numId w:val="2"/>
        </w:numPr>
        <w:spacing w:after="200"/>
        <w:contextualSpacing/>
        <w:jc w:val="both"/>
        <w:rPr>
          <w:sz w:val="24"/>
          <w:szCs w:val="24"/>
        </w:rPr>
      </w:pPr>
      <w:r w:rsidRPr="00D24609">
        <w:rPr>
          <w:sz w:val="24"/>
          <w:szCs w:val="24"/>
        </w:rPr>
        <w:t xml:space="preserve">Each cross section should be numbered or lettered and referenced on the plans. </w:t>
      </w:r>
    </w:p>
    <w:p w14:paraId="5E26C571" w14:textId="77777777" w:rsidR="00D360F9" w:rsidRPr="00D24609" w:rsidRDefault="00D360F9" w:rsidP="00D360F9">
      <w:pPr>
        <w:jc w:val="both"/>
        <w:rPr>
          <w:sz w:val="24"/>
          <w:szCs w:val="24"/>
        </w:rPr>
      </w:pPr>
    </w:p>
    <w:p w14:paraId="10716AAD" w14:textId="77777777" w:rsidR="00D360F9" w:rsidRPr="00D24609" w:rsidRDefault="00D360F9" w:rsidP="00D360F9">
      <w:pPr>
        <w:jc w:val="both"/>
        <w:rPr>
          <w:sz w:val="24"/>
          <w:szCs w:val="24"/>
        </w:rPr>
      </w:pPr>
      <w:r w:rsidRPr="00D24609">
        <w:rPr>
          <w:sz w:val="24"/>
          <w:szCs w:val="24"/>
        </w:rPr>
        <w:t xml:space="preserve">This information is then utilized to compute the areas of cut and fill. A sample grading plan, a typical cross section, and associated compensatory storage calculations for the 10-year flood are provided on </w:t>
      </w:r>
      <w:r w:rsidRPr="00D24609">
        <w:rPr>
          <w:b/>
          <w:sz w:val="24"/>
          <w:szCs w:val="24"/>
        </w:rPr>
        <w:t>Figures 10-1</w:t>
      </w:r>
      <w:r w:rsidRPr="00D24609">
        <w:rPr>
          <w:sz w:val="24"/>
          <w:szCs w:val="24"/>
        </w:rPr>
        <w:t xml:space="preserve">, </w:t>
      </w:r>
      <w:r w:rsidRPr="00D24609">
        <w:rPr>
          <w:b/>
          <w:sz w:val="24"/>
          <w:szCs w:val="24"/>
        </w:rPr>
        <w:t>Figure 10-2</w:t>
      </w:r>
      <w:r w:rsidRPr="00D24609">
        <w:rPr>
          <w:sz w:val="24"/>
          <w:szCs w:val="24"/>
        </w:rPr>
        <w:t xml:space="preserve">, and </w:t>
      </w:r>
      <w:r w:rsidRPr="00D24609">
        <w:rPr>
          <w:b/>
          <w:sz w:val="24"/>
          <w:szCs w:val="24"/>
        </w:rPr>
        <w:t>Table 10-1</w:t>
      </w:r>
      <w:r w:rsidRPr="00D24609">
        <w:rPr>
          <w:sz w:val="24"/>
          <w:szCs w:val="24"/>
        </w:rPr>
        <w:t>, respectively.</w:t>
      </w:r>
    </w:p>
    <w:p w14:paraId="6A163487" w14:textId="77777777" w:rsidR="00D360F9" w:rsidRPr="00D24609" w:rsidRDefault="00D360F9" w:rsidP="00D360F9">
      <w:pPr>
        <w:jc w:val="both"/>
        <w:rPr>
          <w:sz w:val="24"/>
          <w:szCs w:val="24"/>
        </w:rPr>
      </w:pPr>
      <w:r w:rsidRPr="00D24609">
        <w:rPr>
          <w:sz w:val="24"/>
          <w:szCs w:val="24"/>
        </w:rPr>
        <w:t>Volume of Fill between cross sections are calculated by finding the average fill cross sectional area and multiplying it by the distance between the two cross sections.  For example, the fill volume between cross sections A and B is calculated as follows:</w:t>
      </w:r>
    </w:p>
    <w:p w14:paraId="70EA1C65" w14:textId="77777777" w:rsidR="00D360F9" w:rsidRPr="00D24609" w:rsidRDefault="00D360F9" w:rsidP="00D360F9">
      <w:pPr>
        <w:jc w:val="both"/>
        <w:rPr>
          <w:sz w:val="24"/>
          <w:szCs w:val="24"/>
        </w:rPr>
      </w:pPr>
    </w:p>
    <w:p w14:paraId="60504A79" w14:textId="77777777" w:rsidR="00D360F9" w:rsidRPr="00D24609" w:rsidRDefault="00D360F9" w:rsidP="00D360F9">
      <w:pPr>
        <w:jc w:val="both"/>
        <w:rPr>
          <w:sz w:val="24"/>
          <w:szCs w:val="24"/>
        </w:rPr>
      </w:pPr>
      <w:r w:rsidRPr="00D24609">
        <w:rPr>
          <w:sz w:val="24"/>
          <w:szCs w:val="24"/>
        </w:rPr>
        <w:t xml:space="preserve">Average Fill Area = (Fill Area "A" + Fill Area "B")/2 = (0 </w:t>
      </w:r>
      <w:r w:rsidRPr="00D24609">
        <w:rPr>
          <w:i/>
          <w:sz w:val="24"/>
          <w:szCs w:val="24"/>
        </w:rPr>
        <w:t>ft</w:t>
      </w:r>
      <w:r w:rsidRPr="00D24609">
        <w:rPr>
          <w:i/>
          <w:sz w:val="24"/>
          <w:szCs w:val="24"/>
          <w:vertAlign w:val="superscript"/>
        </w:rPr>
        <w:t>2</w:t>
      </w:r>
      <w:r w:rsidRPr="00D24609">
        <w:rPr>
          <w:sz w:val="24"/>
          <w:szCs w:val="24"/>
        </w:rPr>
        <w:t xml:space="preserve"> +100 </w:t>
      </w:r>
      <w:r w:rsidRPr="00D24609">
        <w:rPr>
          <w:i/>
          <w:sz w:val="24"/>
          <w:szCs w:val="24"/>
        </w:rPr>
        <w:t>ft</w:t>
      </w:r>
      <w:r w:rsidRPr="00D24609">
        <w:rPr>
          <w:i/>
          <w:sz w:val="24"/>
          <w:szCs w:val="24"/>
          <w:vertAlign w:val="superscript"/>
        </w:rPr>
        <w:t>2</w:t>
      </w:r>
      <w:r w:rsidRPr="00D24609">
        <w:rPr>
          <w:sz w:val="24"/>
          <w:szCs w:val="24"/>
        </w:rPr>
        <w:t xml:space="preserve">)/2 = 50 </w:t>
      </w:r>
      <w:r w:rsidRPr="00D24609">
        <w:rPr>
          <w:i/>
          <w:sz w:val="24"/>
          <w:szCs w:val="24"/>
        </w:rPr>
        <w:t>ft</w:t>
      </w:r>
      <w:r w:rsidRPr="00D24609">
        <w:rPr>
          <w:i/>
          <w:sz w:val="24"/>
          <w:szCs w:val="24"/>
          <w:vertAlign w:val="superscript"/>
        </w:rPr>
        <w:t>2</w:t>
      </w:r>
    </w:p>
    <w:p w14:paraId="0345E07F" w14:textId="77777777" w:rsidR="00D360F9" w:rsidRPr="00D24609" w:rsidRDefault="00D360F9" w:rsidP="00D360F9">
      <w:pPr>
        <w:jc w:val="both"/>
        <w:rPr>
          <w:sz w:val="24"/>
          <w:szCs w:val="24"/>
        </w:rPr>
      </w:pPr>
      <w:r w:rsidRPr="00D24609">
        <w:rPr>
          <w:sz w:val="24"/>
          <w:szCs w:val="24"/>
        </w:rPr>
        <w:t xml:space="preserve">Volume of Fill = (Average Fill Area) × (Distance) = (50 </w:t>
      </w:r>
      <w:r w:rsidRPr="00D24609">
        <w:rPr>
          <w:i/>
          <w:sz w:val="24"/>
          <w:szCs w:val="24"/>
        </w:rPr>
        <w:t>ft</w:t>
      </w:r>
      <w:r w:rsidRPr="00D24609">
        <w:rPr>
          <w:i/>
          <w:sz w:val="24"/>
          <w:szCs w:val="24"/>
          <w:vertAlign w:val="superscript"/>
        </w:rPr>
        <w:t>2</w:t>
      </w:r>
      <w:r w:rsidRPr="00D24609">
        <w:rPr>
          <w:sz w:val="24"/>
          <w:szCs w:val="24"/>
        </w:rPr>
        <w:t xml:space="preserve">) × (150 </w:t>
      </w:r>
      <w:r w:rsidRPr="00D24609">
        <w:rPr>
          <w:i/>
          <w:sz w:val="24"/>
          <w:szCs w:val="24"/>
        </w:rPr>
        <w:t>ft</w:t>
      </w:r>
      <w:r w:rsidRPr="00D24609">
        <w:rPr>
          <w:sz w:val="24"/>
          <w:szCs w:val="24"/>
        </w:rPr>
        <w:t xml:space="preserve">) = 7,500 </w:t>
      </w:r>
      <w:r w:rsidRPr="00D24609">
        <w:rPr>
          <w:i/>
          <w:sz w:val="24"/>
          <w:szCs w:val="24"/>
        </w:rPr>
        <w:t>ft</w:t>
      </w:r>
      <w:r w:rsidRPr="00D24609">
        <w:rPr>
          <w:i/>
          <w:sz w:val="24"/>
          <w:szCs w:val="24"/>
          <w:vertAlign w:val="superscript"/>
        </w:rPr>
        <w:t>3</w:t>
      </w:r>
    </w:p>
    <w:p w14:paraId="2AC22821" w14:textId="77777777" w:rsidR="00D360F9" w:rsidRPr="00D24609" w:rsidRDefault="00D360F9" w:rsidP="00D360F9">
      <w:pPr>
        <w:jc w:val="both"/>
        <w:rPr>
          <w:sz w:val="24"/>
          <w:szCs w:val="24"/>
        </w:rPr>
      </w:pPr>
      <w:r w:rsidRPr="00D24609">
        <w:rPr>
          <w:sz w:val="24"/>
          <w:szCs w:val="24"/>
        </w:rPr>
        <w:t xml:space="preserve"> </w:t>
      </w:r>
    </w:p>
    <w:p w14:paraId="758A321C" w14:textId="77777777" w:rsidR="00D360F9" w:rsidRPr="00D24609" w:rsidRDefault="00D360F9" w:rsidP="00D360F9">
      <w:pPr>
        <w:jc w:val="both"/>
        <w:rPr>
          <w:sz w:val="24"/>
          <w:szCs w:val="24"/>
        </w:rPr>
      </w:pPr>
      <w:r w:rsidRPr="00D24609">
        <w:rPr>
          <w:sz w:val="24"/>
          <w:szCs w:val="24"/>
        </w:rPr>
        <w:t>Once the total volume of fill placed, for this example, between the 0</w:t>
      </w:r>
      <w:r w:rsidRPr="00D24609">
        <w:rPr>
          <w:rFonts w:ascii="Cambria Math" w:hAnsi="Cambria Math" w:cs="Cambria Math"/>
          <w:sz w:val="24"/>
          <w:szCs w:val="24"/>
        </w:rPr>
        <w:t>‐</w:t>
      </w:r>
      <w:r w:rsidRPr="00D24609">
        <w:rPr>
          <w:sz w:val="24"/>
          <w:szCs w:val="24"/>
        </w:rPr>
        <w:t>and 10</w:t>
      </w:r>
      <w:r w:rsidRPr="00D24609">
        <w:rPr>
          <w:rFonts w:ascii="Cambria Math" w:hAnsi="Cambria Math" w:cs="Cambria Math"/>
          <w:sz w:val="24"/>
          <w:szCs w:val="24"/>
        </w:rPr>
        <w:t>‐</w:t>
      </w:r>
      <w:r w:rsidRPr="00D24609">
        <w:rPr>
          <w:sz w:val="24"/>
          <w:szCs w:val="24"/>
        </w:rPr>
        <w:t xml:space="preserve">yr flood elevations is determined, the total required compensatory storage can be calculated and compared against the total compensatory storage volume provided by the design as shown in the table.  For this example: </w:t>
      </w:r>
    </w:p>
    <w:p w14:paraId="51B14EE3" w14:textId="77777777" w:rsidR="00D360F9" w:rsidRPr="00D24609" w:rsidRDefault="00D360F9" w:rsidP="00D360F9">
      <w:pPr>
        <w:jc w:val="both"/>
        <w:rPr>
          <w:sz w:val="24"/>
          <w:szCs w:val="24"/>
        </w:rPr>
      </w:pPr>
    </w:p>
    <w:p w14:paraId="1A2C37E7" w14:textId="77777777" w:rsidR="00D360F9" w:rsidRPr="00D24609" w:rsidRDefault="00D360F9" w:rsidP="00D360F9">
      <w:pPr>
        <w:jc w:val="both"/>
        <w:rPr>
          <w:sz w:val="24"/>
          <w:szCs w:val="24"/>
        </w:rPr>
      </w:pPr>
      <w:r w:rsidRPr="00D24609">
        <w:rPr>
          <w:sz w:val="24"/>
          <w:szCs w:val="24"/>
        </w:rPr>
        <w:t>Required Compensatory Storage = (</w:t>
      </w:r>
      <w:r>
        <w:rPr>
          <w:sz w:val="24"/>
          <w:szCs w:val="24"/>
        </w:rPr>
        <w:t>3</w:t>
      </w:r>
      <w:r w:rsidRPr="00D24609">
        <w:rPr>
          <w:sz w:val="24"/>
          <w:szCs w:val="24"/>
        </w:rPr>
        <w:t xml:space="preserve">) × (Total Volume of Fill) = (1) × (36,250 </w:t>
      </w:r>
      <w:r w:rsidRPr="00D24609">
        <w:rPr>
          <w:i/>
          <w:sz w:val="24"/>
          <w:szCs w:val="24"/>
        </w:rPr>
        <w:t>ft</w:t>
      </w:r>
      <w:r w:rsidRPr="00D24609">
        <w:rPr>
          <w:i/>
          <w:sz w:val="24"/>
          <w:szCs w:val="24"/>
          <w:vertAlign w:val="superscript"/>
        </w:rPr>
        <w:t>3</w:t>
      </w:r>
      <w:r w:rsidRPr="00D24609">
        <w:rPr>
          <w:sz w:val="24"/>
          <w:szCs w:val="24"/>
        </w:rPr>
        <w:t xml:space="preserve">) </w:t>
      </w:r>
    </w:p>
    <w:p w14:paraId="2D695FCD" w14:textId="77777777" w:rsidR="00D360F9" w:rsidRPr="00D24609" w:rsidRDefault="00D360F9" w:rsidP="00D360F9">
      <w:pPr>
        <w:jc w:val="both"/>
        <w:rPr>
          <w:sz w:val="24"/>
          <w:szCs w:val="24"/>
        </w:rPr>
      </w:pPr>
      <w:r w:rsidRPr="00D24609">
        <w:rPr>
          <w:sz w:val="24"/>
          <w:szCs w:val="24"/>
        </w:rPr>
        <w:t xml:space="preserve">= </w:t>
      </w:r>
      <w:r>
        <w:rPr>
          <w:sz w:val="24"/>
          <w:szCs w:val="24"/>
        </w:rPr>
        <w:t>108,750</w:t>
      </w:r>
      <w:r w:rsidRPr="00D24609">
        <w:rPr>
          <w:sz w:val="24"/>
          <w:szCs w:val="24"/>
        </w:rPr>
        <w:t xml:space="preserve"> </w:t>
      </w:r>
      <w:r w:rsidRPr="00D24609">
        <w:rPr>
          <w:i/>
          <w:sz w:val="24"/>
          <w:szCs w:val="24"/>
        </w:rPr>
        <w:t>ft</w:t>
      </w:r>
      <w:r w:rsidRPr="00D24609">
        <w:rPr>
          <w:i/>
          <w:sz w:val="24"/>
          <w:szCs w:val="24"/>
          <w:vertAlign w:val="superscript"/>
        </w:rPr>
        <w:t>3</w:t>
      </w:r>
    </w:p>
    <w:p w14:paraId="442CC732" w14:textId="77777777" w:rsidR="00411FE7" w:rsidRPr="00D24609" w:rsidRDefault="00411FE7" w:rsidP="00D360F9">
      <w:pPr>
        <w:tabs>
          <w:tab w:val="left" w:pos="1803"/>
        </w:tabs>
        <w:ind w:left="720"/>
        <w:jc w:val="center"/>
        <w:rPr>
          <w:b/>
          <w:sz w:val="24"/>
          <w:szCs w:val="24"/>
        </w:rPr>
      </w:pPr>
    </w:p>
    <w:p w14:paraId="07B096BA" w14:textId="77777777" w:rsidR="00411FE7" w:rsidRDefault="00411FE7">
      <w:pPr>
        <w:spacing w:after="200"/>
        <w:ind w:left="720" w:hanging="720"/>
        <w:jc w:val="both"/>
        <w:rPr>
          <w:b/>
          <w:sz w:val="24"/>
          <w:szCs w:val="24"/>
        </w:rPr>
      </w:pPr>
      <w:r>
        <w:rPr>
          <w:b/>
          <w:sz w:val="24"/>
          <w:szCs w:val="24"/>
        </w:rPr>
        <w:br w:type="page"/>
      </w:r>
    </w:p>
    <w:p w14:paraId="44803ADB" w14:textId="04E2B118" w:rsidR="00D360F9" w:rsidRDefault="00D360F9" w:rsidP="00D360F9">
      <w:pPr>
        <w:jc w:val="center"/>
        <w:rPr>
          <w:b/>
          <w:sz w:val="24"/>
          <w:szCs w:val="24"/>
        </w:rPr>
      </w:pPr>
      <w:r w:rsidRPr="00D24609">
        <w:rPr>
          <w:b/>
          <w:sz w:val="24"/>
          <w:szCs w:val="24"/>
        </w:rPr>
        <w:lastRenderedPageBreak/>
        <w:t>Figure 10-1 - Example Compensatory Storage Grading Plan</w:t>
      </w:r>
    </w:p>
    <w:p w14:paraId="7CE234B9" w14:textId="77777777" w:rsidR="00D360F9" w:rsidRPr="00D24609" w:rsidRDefault="00D360F9" w:rsidP="00D360F9">
      <w:pPr>
        <w:ind w:left="720" w:hanging="720"/>
        <w:jc w:val="center"/>
        <w:rPr>
          <w:sz w:val="24"/>
          <w:szCs w:val="24"/>
        </w:rPr>
      </w:pPr>
      <w:r w:rsidRPr="003A7991">
        <w:rPr>
          <w:noProof/>
          <w:sz w:val="24"/>
          <w:szCs w:val="24"/>
        </w:rPr>
        <w:drawing>
          <wp:inline distT="0" distB="0" distL="0" distR="0" wp14:anchorId="530FF9BA" wp14:editId="26EC450A">
            <wp:extent cx="4695825" cy="3826510"/>
            <wp:effectExtent l="0" t="0" r="9525" b="254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3826510"/>
                    </a:xfrm>
                    <a:prstGeom prst="rect">
                      <a:avLst/>
                    </a:prstGeom>
                    <a:noFill/>
                  </pic:spPr>
                </pic:pic>
              </a:graphicData>
            </a:graphic>
          </wp:inline>
        </w:drawing>
      </w:r>
    </w:p>
    <w:p w14:paraId="0D0D8B48" w14:textId="77777777" w:rsidR="00D360F9" w:rsidRPr="00D24609" w:rsidRDefault="00D360F9" w:rsidP="00D360F9">
      <w:pPr>
        <w:ind w:firstLine="720"/>
        <w:jc w:val="both"/>
        <w:rPr>
          <w:sz w:val="24"/>
          <w:szCs w:val="24"/>
        </w:rPr>
      </w:pPr>
      <w:r w:rsidRPr="00D24609">
        <w:rPr>
          <w:sz w:val="24"/>
          <w:szCs w:val="24"/>
        </w:rPr>
        <w:t>* Not to Scale &amp; Topography not shown for clarity.</w:t>
      </w:r>
    </w:p>
    <w:p w14:paraId="5BA4F630" w14:textId="77777777" w:rsidR="00D360F9" w:rsidRDefault="00D360F9" w:rsidP="00D360F9">
      <w:pPr>
        <w:rPr>
          <w:b/>
          <w:sz w:val="24"/>
          <w:szCs w:val="24"/>
        </w:rPr>
      </w:pPr>
    </w:p>
    <w:p w14:paraId="62856FA5" w14:textId="77777777" w:rsidR="00D360F9" w:rsidRPr="00D24609" w:rsidRDefault="00D360F9" w:rsidP="00D360F9">
      <w:pPr>
        <w:ind w:left="720"/>
        <w:jc w:val="center"/>
        <w:rPr>
          <w:b/>
          <w:sz w:val="24"/>
          <w:szCs w:val="24"/>
        </w:rPr>
      </w:pPr>
      <w:r w:rsidRPr="00D24609">
        <w:rPr>
          <w:b/>
          <w:sz w:val="24"/>
          <w:szCs w:val="24"/>
        </w:rPr>
        <w:t>Figure 10-2 – Example Cross Section D-D</w:t>
      </w:r>
    </w:p>
    <w:p w14:paraId="3418EF79" w14:textId="77777777" w:rsidR="00D360F9" w:rsidRPr="00D24609" w:rsidRDefault="00D360F9" w:rsidP="00D360F9">
      <w:pPr>
        <w:ind w:left="720" w:hanging="810"/>
        <w:jc w:val="both"/>
        <w:rPr>
          <w:sz w:val="24"/>
          <w:szCs w:val="24"/>
        </w:rPr>
      </w:pPr>
      <w:r w:rsidRPr="003A7991">
        <w:rPr>
          <w:noProof/>
          <w:sz w:val="24"/>
          <w:szCs w:val="24"/>
        </w:rPr>
        <w:drawing>
          <wp:inline distT="0" distB="0" distL="0" distR="0" wp14:anchorId="51215CC2" wp14:editId="07F06D4D">
            <wp:extent cx="5911215" cy="4137025"/>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8">
                      <a:extLst>
                        <a:ext uri="{28A0092B-C50C-407E-A947-70E740481C1C}">
                          <a14:useLocalDpi xmlns:a14="http://schemas.microsoft.com/office/drawing/2010/main" val="0"/>
                        </a:ext>
                      </a:extLst>
                    </a:blip>
                    <a:srcRect b="14035"/>
                    <a:stretch>
                      <a:fillRect/>
                    </a:stretch>
                  </pic:blipFill>
                  <pic:spPr bwMode="auto">
                    <a:xfrm>
                      <a:off x="0" y="0"/>
                      <a:ext cx="5911215" cy="4137025"/>
                    </a:xfrm>
                    <a:prstGeom prst="rect">
                      <a:avLst/>
                    </a:prstGeom>
                    <a:noFill/>
                  </pic:spPr>
                </pic:pic>
              </a:graphicData>
            </a:graphic>
          </wp:inline>
        </w:drawing>
      </w:r>
    </w:p>
    <w:p w14:paraId="1F5E078F" w14:textId="77777777" w:rsidR="004C3FA1" w:rsidRDefault="004C3FA1" w:rsidP="00D360F9">
      <w:pPr>
        <w:jc w:val="center"/>
        <w:rPr>
          <w:b/>
          <w:sz w:val="22"/>
        </w:rPr>
      </w:pPr>
    </w:p>
    <w:p w14:paraId="64625507" w14:textId="4120B8CA" w:rsidR="00D360F9" w:rsidRPr="00D24609" w:rsidRDefault="00D360F9" w:rsidP="00D360F9">
      <w:pPr>
        <w:jc w:val="center"/>
        <w:rPr>
          <w:b/>
          <w:sz w:val="22"/>
        </w:rPr>
      </w:pPr>
      <w:r w:rsidRPr="00D24609">
        <w:rPr>
          <w:b/>
          <w:sz w:val="22"/>
        </w:rPr>
        <w:lastRenderedPageBreak/>
        <w:t xml:space="preserve">Table 1 - Example Compensatory Storage Calculations for </w:t>
      </w:r>
      <w:proofErr w:type="gramStart"/>
      <w:r w:rsidRPr="00D24609">
        <w:rPr>
          <w:b/>
          <w:sz w:val="22"/>
        </w:rPr>
        <w:t>0-10 year</w:t>
      </w:r>
      <w:proofErr w:type="gramEnd"/>
      <w:r w:rsidRPr="00D24609">
        <w:rPr>
          <w:b/>
          <w:sz w:val="22"/>
        </w:rPr>
        <w:t xml:space="preserve"> event</w:t>
      </w:r>
    </w:p>
    <w:p w14:paraId="2B64C6C9" w14:textId="77777777" w:rsidR="00D360F9" w:rsidRPr="00D24609" w:rsidRDefault="00D360F9" w:rsidP="00D360F9">
      <w:pPr>
        <w:jc w:val="center"/>
        <w:rPr>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D360F9" w:rsidRPr="00D24609" w14:paraId="08D04FFD" w14:textId="77777777" w:rsidTr="00DC4294">
        <w:trPr>
          <w:trHeight w:hRule="exact" w:val="948"/>
        </w:trPr>
        <w:tc>
          <w:tcPr>
            <w:tcW w:w="1197" w:type="dxa"/>
            <w:tcBorders>
              <w:top w:val="double" w:sz="4" w:space="0" w:color="auto"/>
              <w:bottom w:val="single" w:sz="12" w:space="0" w:color="auto"/>
            </w:tcBorders>
            <w:vAlign w:val="center"/>
          </w:tcPr>
          <w:p w14:paraId="542ACD4F" w14:textId="77777777" w:rsidR="00D360F9" w:rsidRPr="00D24609" w:rsidRDefault="00D360F9" w:rsidP="00DC4294">
            <w:pPr>
              <w:jc w:val="center"/>
              <w:rPr>
                <w:b/>
              </w:rPr>
            </w:pPr>
            <w:r w:rsidRPr="00D24609">
              <w:rPr>
                <w:b/>
              </w:rPr>
              <w:t>Cross Section</w:t>
            </w:r>
          </w:p>
        </w:tc>
        <w:tc>
          <w:tcPr>
            <w:tcW w:w="1197" w:type="dxa"/>
            <w:tcBorders>
              <w:top w:val="double" w:sz="4" w:space="0" w:color="auto"/>
              <w:bottom w:val="single" w:sz="12" w:space="0" w:color="auto"/>
            </w:tcBorders>
            <w:vAlign w:val="center"/>
          </w:tcPr>
          <w:p w14:paraId="091323B3" w14:textId="77777777" w:rsidR="00D360F9" w:rsidRPr="00D24609" w:rsidRDefault="00D360F9" w:rsidP="00DC4294">
            <w:pPr>
              <w:jc w:val="center"/>
              <w:rPr>
                <w:b/>
              </w:rPr>
            </w:pPr>
            <w:r w:rsidRPr="00D24609">
              <w:rPr>
                <w:b/>
              </w:rPr>
              <w:t>Distance Between Sections (ft.)</w:t>
            </w:r>
          </w:p>
        </w:tc>
        <w:tc>
          <w:tcPr>
            <w:tcW w:w="1197" w:type="dxa"/>
            <w:tcBorders>
              <w:top w:val="double" w:sz="4" w:space="0" w:color="auto"/>
              <w:bottom w:val="single" w:sz="12" w:space="0" w:color="auto"/>
            </w:tcBorders>
            <w:vAlign w:val="center"/>
          </w:tcPr>
          <w:p w14:paraId="3E4D2EE4" w14:textId="77777777" w:rsidR="00D360F9" w:rsidRPr="00D24609" w:rsidRDefault="00D360F9" w:rsidP="00DC4294">
            <w:pPr>
              <w:jc w:val="center"/>
              <w:rPr>
                <w:b/>
              </w:rPr>
            </w:pPr>
            <w:r w:rsidRPr="00D24609">
              <w:rPr>
                <w:b/>
              </w:rPr>
              <w:t>Fill Area</w:t>
            </w:r>
          </w:p>
          <w:p w14:paraId="320CC8C1" w14:textId="77777777" w:rsidR="00D360F9" w:rsidRPr="00D24609" w:rsidRDefault="00D360F9" w:rsidP="00DC4294">
            <w:pPr>
              <w:jc w:val="center"/>
              <w:rPr>
                <w:b/>
              </w:rPr>
            </w:pPr>
            <w:r w:rsidRPr="00D24609">
              <w:rPr>
                <w:b/>
              </w:rPr>
              <w:t>(sq. ft.)</w:t>
            </w:r>
          </w:p>
        </w:tc>
        <w:tc>
          <w:tcPr>
            <w:tcW w:w="1197" w:type="dxa"/>
            <w:tcBorders>
              <w:top w:val="double" w:sz="4" w:space="0" w:color="auto"/>
              <w:bottom w:val="single" w:sz="12" w:space="0" w:color="auto"/>
            </w:tcBorders>
            <w:vAlign w:val="center"/>
          </w:tcPr>
          <w:p w14:paraId="2F7E6B7B" w14:textId="77777777" w:rsidR="00D360F9" w:rsidRPr="00D24609" w:rsidRDefault="00D360F9" w:rsidP="00DC4294">
            <w:pPr>
              <w:jc w:val="center"/>
              <w:rPr>
                <w:b/>
              </w:rPr>
            </w:pPr>
            <w:r w:rsidRPr="00D24609">
              <w:rPr>
                <w:b/>
              </w:rPr>
              <w:t>Average Fill Area (sq. ft.)</w:t>
            </w:r>
          </w:p>
        </w:tc>
        <w:tc>
          <w:tcPr>
            <w:tcW w:w="1197" w:type="dxa"/>
            <w:tcBorders>
              <w:top w:val="double" w:sz="4" w:space="0" w:color="auto"/>
              <w:bottom w:val="single" w:sz="12" w:space="0" w:color="auto"/>
            </w:tcBorders>
            <w:vAlign w:val="center"/>
          </w:tcPr>
          <w:p w14:paraId="1FEE1F95" w14:textId="77777777" w:rsidR="00D360F9" w:rsidRPr="00D24609" w:rsidRDefault="00D360F9" w:rsidP="00DC4294">
            <w:pPr>
              <w:jc w:val="center"/>
              <w:rPr>
                <w:b/>
              </w:rPr>
            </w:pPr>
            <w:r w:rsidRPr="00D24609">
              <w:rPr>
                <w:b/>
              </w:rPr>
              <w:t>Volume of Fill        (cu. Ft.)</w:t>
            </w:r>
          </w:p>
        </w:tc>
        <w:tc>
          <w:tcPr>
            <w:tcW w:w="1197" w:type="dxa"/>
            <w:tcBorders>
              <w:top w:val="double" w:sz="4" w:space="0" w:color="auto"/>
              <w:bottom w:val="single" w:sz="12" w:space="0" w:color="auto"/>
            </w:tcBorders>
            <w:vAlign w:val="center"/>
          </w:tcPr>
          <w:p w14:paraId="0D3E5F10" w14:textId="77777777" w:rsidR="00D360F9" w:rsidRPr="00D24609" w:rsidRDefault="00D360F9" w:rsidP="00DC4294">
            <w:pPr>
              <w:jc w:val="center"/>
              <w:rPr>
                <w:b/>
              </w:rPr>
            </w:pPr>
            <w:r w:rsidRPr="00D24609">
              <w:rPr>
                <w:b/>
              </w:rPr>
              <w:t>Cut Area (sq. ft.)</w:t>
            </w:r>
          </w:p>
        </w:tc>
        <w:tc>
          <w:tcPr>
            <w:tcW w:w="1197" w:type="dxa"/>
            <w:tcBorders>
              <w:top w:val="double" w:sz="4" w:space="0" w:color="auto"/>
              <w:bottom w:val="single" w:sz="12" w:space="0" w:color="auto"/>
            </w:tcBorders>
            <w:vAlign w:val="center"/>
          </w:tcPr>
          <w:p w14:paraId="2CD1AAAD" w14:textId="77777777" w:rsidR="00D360F9" w:rsidRPr="00D24609" w:rsidRDefault="00D360F9" w:rsidP="00DC4294">
            <w:pPr>
              <w:jc w:val="center"/>
              <w:rPr>
                <w:b/>
              </w:rPr>
            </w:pPr>
            <w:r w:rsidRPr="00D24609">
              <w:rPr>
                <w:b/>
              </w:rPr>
              <w:t>Average Cut       (sq. ft.)</w:t>
            </w:r>
          </w:p>
        </w:tc>
        <w:tc>
          <w:tcPr>
            <w:tcW w:w="1197" w:type="dxa"/>
            <w:tcBorders>
              <w:top w:val="double" w:sz="4" w:space="0" w:color="auto"/>
              <w:bottom w:val="single" w:sz="12" w:space="0" w:color="auto"/>
            </w:tcBorders>
            <w:vAlign w:val="center"/>
          </w:tcPr>
          <w:p w14:paraId="028D7BBA" w14:textId="77777777" w:rsidR="00D360F9" w:rsidRPr="00D24609" w:rsidRDefault="00D360F9" w:rsidP="00DC4294">
            <w:pPr>
              <w:jc w:val="center"/>
              <w:rPr>
                <w:b/>
              </w:rPr>
            </w:pPr>
            <w:r w:rsidRPr="00D24609">
              <w:rPr>
                <w:b/>
              </w:rPr>
              <w:t>Volume of Cut       (cu. Ft.)</w:t>
            </w:r>
          </w:p>
        </w:tc>
      </w:tr>
      <w:tr w:rsidR="00D360F9" w:rsidRPr="00D24609" w14:paraId="350BBA77" w14:textId="77777777" w:rsidTr="00DC4294">
        <w:trPr>
          <w:trHeight w:hRule="exact" w:val="216"/>
        </w:trPr>
        <w:tc>
          <w:tcPr>
            <w:tcW w:w="1197" w:type="dxa"/>
            <w:tcBorders>
              <w:top w:val="single" w:sz="12" w:space="0" w:color="auto"/>
            </w:tcBorders>
            <w:vAlign w:val="center"/>
          </w:tcPr>
          <w:p w14:paraId="3A993FFB" w14:textId="77777777" w:rsidR="00D360F9" w:rsidRPr="00D24609" w:rsidRDefault="00D360F9" w:rsidP="00DC4294">
            <w:pPr>
              <w:jc w:val="center"/>
              <w:rPr>
                <w:b/>
                <w:sz w:val="18"/>
                <w:szCs w:val="18"/>
              </w:rPr>
            </w:pPr>
            <w:r w:rsidRPr="00D24609">
              <w:rPr>
                <w:b/>
                <w:sz w:val="18"/>
                <w:szCs w:val="18"/>
              </w:rPr>
              <w:t>A</w:t>
            </w:r>
          </w:p>
        </w:tc>
        <w:tc>
          <w:tcPr>
            <w:tcW w:w="1197" w:type="dxa"/>
            <w:tcBorders>
              <w:top w:val="single" w:sz="12" w:space="0" w:color="auto"/>
            </w:tcBorders>
            <w:vAlign w:val="center"/>
          </w:tcPr>
          <w:p w14:paraId="24384AF4" w14:textId="77777777" w:rsidR="00D360F9" w:rsidRPr="00D24609" w:rsidRDefault="00D360F9" w:rsidP="00DC4294">
            <w:pPr>
              <w:jc w:val="center"/>
              <w:rPr>
                <w:sz w:val="18"/>
                <w:szCs w:val="18"/>
              </w:rPr>
            </w:pPr>
          </w:p>
        </w:tc>
        <w:tc>
          <w:tcPr>
            <w:tcW w:w="1197" w:type="dxa"/>
            <w:tcBorders>
              <w:top w:val="single" w:sz="12" w:space="0" w:color="auto"/>
            </w:tcBorders>
            <w:vAlign w:val="center"/>
          </w:tcPr>
          <w:p w14:paraId="1EA047D6" w14:textId="77777777" w:rsidR="00D360F9" w:rsidRPr="00D24609" w:rsidRDefault="00D360F9" w:rsidP="00DC4294">
            <w:pPr>
              <w:jc w:val="center"/>
              <w:rPr>
                <w:sz w:val="18"/>
                <w:szCs w:val="18"/>
              </w:rPr>
            </w:pPr>
            <w:r w:rsidRPr="00D24609">
              <w:rPr>
                <w:sz w:val="18"/>
                <w:szCs w:val="18"/>
              </w:rPr>
              <w:t>0</w:t>
            </w:r>
          </w:p>
        </w:tc>
        <w:tc>
          <w:tcPr>
            <w:tcW w:w="1197" w:type="dxa"/>
            <w:tcBorders>
              <w:top w:val="single" w:sz="12" w:space="0" w:color="auto"/>
            </w:tcBorders>
            <w:vAlign w:val="center"/>
          </w:tcPr>
          <w:p w14:paraId="05F0A461" w14:textId="77777777" w:rsidR="00D360F9" w:rsidRPr="00D24609" w:rsidRDefault="00D360F9" w:rsidP="00DC4294">
            <w:pPr>
              <w:jc w:val="center"/>
              <w:rPr>
                <w:sz w:val="18"/>
                <w:szCs w:val="18"/>
              </w:rPr>
            </w:pPr>
          </w:p>
        </w:tc>
        <w:tc>
          <w:tcPr>
            <w:tcW w:w="1197" w:type="dxa"/>
            <w:tcBorders>
              <w:top w:val="single" w:sz="12" w:space="0" w:color="auto"/>
            </w:tcBorders>
            <w:vAlign w:val="center"/>
          </w:tcPr>
          <w:p w14:paraId="7BDEC339" w14:textId="77777777" w:rsidR="00D360F9" w:rsidRPr="00D24609" w:rsidRDefault="00D360F9" w:rsidP="00DC4294">
            <w:pPr>
              <w:jc w:val="center"/>
              <w:rPr>
                <w:sz w:val="18"/>
                <w:szCs w:val="18"/>
              </w:rPr>
            </w:pPr>
          </w:p>
        </w:tc>
        <w:tc>
          <w:tcPr>
            <w:tcW w:w="1197" w:type="dxa"/>
            <w:tcBorders>
              <w:top w:val="single" w:sz="12" w:space="0" w:color="auto"/>
            </w:tcBorders>
            <w:vAlign w:val="center"/>
          </w:tcPr>
          <w:p w14:paraId="2BF4656F" w14:textId="77777777" w:rsidR="00D360F9" w:rsidRPr="00D24609" w:rsidRDefault="00D360F9" w:rsidP="00DC4294">
            <w:pPr>
              <w:jc w:val="center"/>
              <w:rPr>
                <w:sz w:val="18"/>
                <w:szCs w:val="18"/>
              </w:rPr>
            </w:pPr>
            <w:r w:rsidRPr="00D24609">
              <w:rPr>
                <w:sz w:val="18"/>
                <w:szCs w:val="18"/>
              </w:rPr>
              <w:t>0</w:t>
            </w:r>
          </w:p>
        </w:tc>
        <w:tc>
          <w:tcPr>
            <w:tcW w:w="1197" w:type="dxa"/>
            <w:tcBorders>
              <w:top w:val="single" w:sz="12" w:space="0" w:color="auto"/>
            </w:tcBorders>
            <w:vAlign w:val="center"/>
          </w:tcPr>
          <w:p w14:paraId="59E41363" w14:textId="77777777" w:rsidR="00D360F9" w:rsidRPr="00D24609" w:rsidRDefault="00D360F9" w:rsidP="00DC4294">
            <w:pPr>
              <w:jc w:val="center"/>
              <w:rPr>
                <w:sz w:val="18"/>
                <w:szCs w:val="18"/>
              </w:rPr>
            </w:pPr>
          </w:p>
        </w:tc>
        <w:tc>
          <w:tcPr>
            <w:tcW w:w="1197" w:type="dxa"/>
            <w:tcBorders>
              <w:top w:val="single" w:sz="12" w:space="0" w:color="auto"/>
            </w:tcBorders>
            <w:vAlign w:val="center"/>
          </w:tcPr>
          <w:p w14:paraId="1DC8A26C" w14:textId="77777777" w:rsidR="00D360F9" w:rsidRPr="00D24609" w:rsidRDefault="00D360F9" w:rsidP="00DC4294">
            <w:pPr>
              <w:jc w:val="center"/>
              <w:rPr>
                <w:sz w:val="18"/>
                <w:szCs w:val="18"/>
              </w:rPr>
            </w:pPr>
          </w:p>
        </w:tc>
      </w:tr>
      <w:tr w:rsidR="00D360F9" w:rsidRPr="00D24609" w14:paraId="03759349" w14:textId="77777777" w:rsidTr="00DC4294">
        <w:trPr>
          <w:trHeight w:hRule="exact" w:val="216"/>
        </w:trPr>
        <w:tc>
          <w:tcPr>
            <w:tcW w:w="1197" w:type="dxa"/>
            <w:vAlign w:val="center"/>
          </w:tcPr>
          <w:p w14:paraId="1DFD27AC" w14:textId="77777777" w:rsidR="00D360F9" w:rsidRPr="00D24609" w:rsidRDefault="00D360F9" w:rsidP="00DC4294">
            <w:pPr>
              <w:jc w:val="center"/>
              <w:rPr>
                <w:b/>
                <w:sz w:val="18"/>
                <w:szCs w:val="18"/>
              </w:rPr>
            </w:pPr>
          </w:p>
        </w:tc>
        <w:tc>
          <w:tcPr>
            <w:tcW w:w="1197" w:type="dxa"/>
            <w:vAlign w:val="center"/>
          </w:tcPr>
          <w:p w14:paraId="13E7AD0E" w14:textId="77777777" w:rsidR="00D360F9" w:rsidRPr="00D24609" w:rsidRDefault="00D360F9" w:rsidP="00DC4294">
            <w:pPr>
              <w:jc w:val="center"/>
              <w:rPr>
                <w:sz w:val="18"/>
                <w:szCs w:val="18"/>
              </w:rPr>
            </w:pPr>
            <w:r w:rsidRPr="00D24609">
              <w:rPr>
                <w:sz w:val="18"/>
                <w:szCs w:val="18"/>
              </w:rPr>
              <w:t>150</w:t>
            </w:r>
          </w:p>
        </w:tc>
        <w:tc>
          <w:tcPr>
            <w:tcW w:w="1197" w:type="dxa"/>
            <w:vAlign w:val="center"/>
          </w:tcPr>
          <w:p w14:paraId="39E6B513" w14:textId="77777777" w:rsidR="00D360F9" w:rsidRPr="00D24609" w:rsidRDefault="00D360F9" w:rsidP="00DC4294">
            <w:pPr>
              <w:jc w:val="center"/>
              <w:rPr>
                <w:sz w:val="18"/>
                <w:szCs w:val="18"/>
              </w:rPr>
            </w:pPr>
          </w:p>
        </w:tc>
        <w:tc>
          <w:tcPr>
            <w:tcW w:w="1197" w:type="dxa"/>
            <w:vAlign w:val="center"/>
          </w:tcPr>
          <w:p w14:paraId="62BD5C36" w14:textId="77777777" w:rsidR="00D360F9" w:rsidRPr="00D24609" w:rsidRDefault="00D360F9" w:rsidP="00DC4294">
            <w:pPr>
              <w:jc w:val="center"/>
              <w:rPr>
                <w:sz w:val="18"/>
                <w:szCs w:val="18"/>
              </w:rPr>
            </w:pPr>
            <w:r w:rsidRPr="00D24609">
              <w:rPr>
                <w:sz w:val="18"/>
                <w:szCs w:val="18"/>
              </w:rPr>
              <w:t>50</w:t>
            </w:r>
          </w:p>
        </w:tc>
        <w:tc>
          <w:tcPr>
            <w:tcW w:w="1197" w:type="dxa"/>
            <w:vAlign w:val="center"/>
          </w:tcPr>
          <w:p w14:paraId="15877A4E" w14:textId="77777777" w:rsidR="00D360F9" w:rsidRPr="00D24609" w:rsidRDefault="00D360F9" w:rsidP="00DC4294">
            <w:pPr>
              <w:jc w:val="center"/>
              <w:rPr>
                <w:sz w:val="18"/>
                <w:szCs w:val="18"/>
              </w:rPr>
            </w:pPr>
            <w:r w:rsidRPr="00D24609">
              <w:rPr>
                <w:sz w:val="18"/>
                <w:szCs w:val="18"/>
              </w:rPr>
              <w:t>7,500</w:t>
            </w:r>
          </w:p>
        </w:tc>
        <w:tc>
          <w:tcPr>
            <w:tcW w:w="1197" w:type="dxa"/>
            <w:vAlign w:val="center"/>
          </w:tcPr>
          <w:p w14:paraId="096BD164" w14:textId="77777777" w:rsidR="00D360F9" w:rsidRPr="00D24609" w:rsidRDefault="00D360F9" w:rsidP="00DC4294">
            <w:pPr>
              <w:jc w:val="center"/>
              <w:rPr>
                <w:sz w:val="18"/>
                <w:szCs w:val="18"/>
              </w:rPr>
            </w:pPr>
          </w:p>
        </w:tc>
        <w:tc>
          <w:tcPr>
            <w:tcW w:w="1197" w:type="dxa"/>
            <w:vAlign w:val="center"/>
          </w:tcPr>
          <w:p w14:paraId="084C8EA5" w14:textId="77777777" w:rsidR="00D360F9" w:rsidRPr="00D24609" w:rsidRDefault="00D360F9" w:rsidP="00DC4294">
            <w:pPr>
              <w:jc w:val="center"/>
              <w:rPr>
                <w:sz w:val="18"/>
                <w:szCs w:val="18"/>
              </w:rPr>
            </w:pPr>
            <w:r w:rsidRPr="00D24609">
              <w:rPr>
                <w:sz w:val="18"/>
                <w:szCs w:val="18"/>
              </w:rPr>
              <w:t>0</w:t>
            </w:r>
          </w:p>
        </w:tc>
        <w:tc>
          <w:tcPr>
            <w:tcW w:w="1197" w:type="dxa"/>
            <w:vAlign w:val="center"/>
          </w:tcPr>
          <w:p w14:paraId="7C0914F2" w14:textId="77777777" w:rsidR="00D360F9" w:rsidRPr="00D24609" w:rsidRDefault="00D360F9" w:rsidP="00DC4294">
            <w:pPr>
              <w:jc w:val="center"/>
              <w:rPr>
                <w:sz w:val="18"/>
                <w:szCs w:val="18"/>
              </w:rPr>
            </w:pPr>
          </w:p>
        </w:tc>
      </w:tr>
      <w:tr w:rsidR="00D360F9" w:rsidRPr="00D24609" w14:paraId="2757EE71" w14:textId="77777777" w:rsidTr="00DC4294">
        <w:trPr>
          <w:trHeight w:hRule="exact" w:val="216"/>
        </w:trPr>
        <w:tc>
          <w:tcPr>
            <w:tcW w:w="1197" w:type="dxa"/>
            <w:vAlign w:val="center"/>
          </w:tcPr>
          <w:p w14:paraId="50A0054D" w14:textId="77777777" w:rsidR="00D360F9" w:rsidRPr="00D24609" w:rsidRDefault="00D360F9" w:rsidP="00DC4294">
            <w:pPr>
              <w:jc w:val="center"/>
              <w:rPr>
                <w:b/>
                <w:sz w:val="18"/>
                <w:szCs w:val="18"/>
              </w:rPr>
            </w:pPr>
            <w:r w:rsidRPr="00D24609">
              <w:rPr>
                <w:b/>
                <w:sz w:val="18"/>
                <w:szCs w:val="18"/>
              </w:rPr>
              <w:t>B</w:t>
            </w:r>
          </w:p>
        </w:tc>
        <w:tc>
          <w:tcPr>
            <w:tcW w:w="1197" w:type="dxa"/>
            <w:vAlign w:val="center"/>
          </w:tcPr>
          <w:p w14:paraId="25F83424" w14:textId="77777777" w:rsidR="00D360F9" w:rsidRPr="00D24609" w:rsidRDefault="00D360F9" w:rsidP="00DC4294">
            <w:pPr>
              <w:jc w:val="center"/>
              <w:rPr>
                <w:sz w:val="18"/>
                <w:szCs w:val="18"/>
              </w:rPr>
            </w:pPr>
          </w:p>
        </w:tc>
        <w:tc>
          <w:tcPr>
            <w:tcW w:w="1197" w:type="dxa"/>
            <w:vAlign w:val="center"/>
          </w:tcPr>
          <w:p w14:paraId="3DF50266" w14:textId="77777777" w:rsidR="00D360F9" w:rsidRPr="00D24609" w:rsidRDefault="00D360F9" w:rsidP="00DC4294">
            <w:pPr>
              <w:jc w:val="center"/>
              <w:rPr>
                <w:sz w:val="18"/>
                <w:szCs w:val="18"/>
              </w:rPr>
            </w:pPr>
            <w:r w:rsidRPr="00D24609">
              <w:rPr>
                <w:sz w:val="18"/>
                <w:szCs w:val="18"/>
              </w:rPr>
              <w:t>100</w:t>
            </w:r>
          </w:p>
        </w:tc>
        <w:tc>
          <w:tcPr>
            <w:tcW w:w="1197" w:type="dxa"/>
            <w:vAlign w:val="center"/>
          </w:tcPr>
          <w:p w14:paraId="7B69DB2B" w14:textId="77777777" w:rsidR="00D360F9" w:rsidRPr="00D24609" w:rsidRDefault="00D360F9" w:rsidP="00DC4294">
            <w:pPr>
              <w:jc w:val="center"/>
              <w:rPr>
                <w:sz w:val="18"/>
                <w:szCs w:val="18"/>
              </w:rPr>
            </w:pPr>
          </w:p>
        </w:tc>
        <w:tc>
          <w:tcPr>
            <w:tcW w:w="1197" w:type="dxa"/>
            <w:vAlign w:val="center"/>
          </w:tcPr>
          <w:p w14:paraId="2709F1D7" w14:textId="77777777" w:rsidR="00D360F9" w:rsidRPr="00D24609" w:rsidRDefault="00D360F9" w:rsidP="00DC4294">
            <w:pPr>
              <w:jc w:val="center"/>
              <w:rPr>
                <w:sz w:val="18"/>
                <w:szCs w:val="18"/>
              </w:rPr>
            </w:pPr>
          </w:p>
        </w:tc>
        <w:tc>
          <w:tcPr>
            <w:tcW w:w="1197" w:type="dxa"/>
            <w:vAlign w:val="center"/>
          </w:tcPr>
          <w:p w14:paraId="438F8A44" w14:textId="77777777" w:rsidR="00D360F9" w:rsidRPr="00D24609" w:rsidRDefault="00D360F9" w:rsidP="00DC4294">
            <w:pPr>
              <w:jc w:val="center"/>
              <w:rPr>
                <w:sz w:val="18"/>
                <w:szCs w:val="18"/>
              </w:rPr>
            </w:pPr>
            <w:r w:rsidRPr="00D24609">
              <w:rPr>
                <w:sz w:val="18"/>
                <w:szCs w:val="18"/>
              </w:rPr>
              <w:t>0</w:t>
            </w:r>
          </w:p>
        </w:tc>
        <w:tc>
          <w:tcPr>
            <w:tcW w:w="1197" w:type="dxa"/>
            <w:vAlign w:val="center"/>
          </w:tcPr>
          <w:p w14:paraId="74B81F47" w14:textId="77777777" w:rsidR="00D360F9" w:rsidRPr="00D24609" w:rsidRDefault="00D360F9" w:rsidP="00DC4294">
            <w:pPr>
              <w:jc w:val="center"/>
              <w:rPr>
                <w:sz w:val="18"/>
                <w:szCs w:val="18"/>
              </w:rPr>
            </w:pPr>
          </w:p>
        </w:tc>
        <w:tc>
          <w:tcPr>
            <w:tcW w:w="1197" w:type="dxa"/>
            <w:vAlign w:val="center"/>
          </w:tcPr>
          <w:p w14:paraId="5694D90F" w14:textId="77777777" w:rsidR="00D360F9" w:rsidRPr="00D24609" w:rsidRDefault="00D360F9" w:rsidP="00DC4294">
            <w:pPr>
              <w:jc w:val="center"/>
              <w:rPr>
                <w:sz w:val="18"/>
                <w:szCs w:val="18"/>
              </w:rPr>
            </w:pPr>
          </w:p>
        </w:tc>
      </w:tr>
      <w:tr w:rsidR="00D360F9" w:rsidRPr="00D24609" w14:paraId="4B03F7EA" w14:textId="77777777" w:rsidTr="00DC4294">
        <w:trPr>
          <w:trHeight w:hRule="exact" w:val="216"/>
        </w:trPr>
        <w:tc>
          <w:tcPr>
            <w:tcW w:w="1197" w:type="dxa"/>
            <w:vAlign w:val="center"/>
          </w:tcPr>
          <w:p w14:paraId="73631E4B" w14:textId="77777777" w:rsidR="00D360F9" w:rsidRPr="00D24609" w:rsidRDefault="00D360F9" w:rsidP="00DC4294">
            <w:pPr>
              <w:jc w:val="center"/>
              <w:rPr>
                <w:b/>
                <w:sz w:val="18"/>
                <w:szCs w:val="18"/>
              </w:rPr>
            </w:pPr>
          </w:p>
        </w:tc>
        <w:tc>
          <w:tcPr>
            <w:tcW w:w="1197" w:type="dxa"/>
            <w:vAlign w:val="center"/>
          </w:tcPr>
          <w:p w14:paraId="3C8E1AC2" w14:textId="77777777" w:rsidR="00D360F9" w:rsidRPr="00D24609" w:rsidRDefault="00D360F9" w:rsidP="00DC4294">
            <w:pPr>
              <w:jc w:val="center"/>
              <w:rPr>
                <w:sz w:val="18"/>
                <w:szCs w:val="18"/>
              </w:rPr>
            </w:pPr>
            <w:r w:rsidRPr="00D24609">
              <w:rPr>
                <w:sz w:val="18"/>
                <w:szCs w:val="18"/>
              </w:rPr>
              <w:t>90</w:t>
            </w:r>
          </w:p>
        </w:tc>
        <w:tc>
          <w:tcPr>
            <w:tcW w:w="1197" w:type="dxa"/>
            <w:vAlign w:val="center"/>
          </w:tcPr>
          <w:p w14:paraId="32A55387" w14:textId="77777777" w:rsidR="00D360F9" w:rsidRPr="00D24609" w:rsidRDefault="00D360F9" w:rsidP="00DC4294">
            <w:pPr>
              <w:jc w:val="center"/>
              <w:rPr>
                <w:sz w:val="18"/>
                <w:szCs w:val="18"/>
              </w:rPr>
            </w:pPr>
          </w:p>
        </w:tc>
        <w:tc>
          <w:tcPr>
            <w:tcW w:w="1197" w:type="dxa"/>
            <w:vAlign w:val="center"/>
          </w:tcPr>
          <w:p w14:paraId="0B822DB9" w14:textId="77777777" w:rsidR="00D360F9" w:rsidRPr="00D24609" w:rsidRDefault="00D360F9" w:rsidP="00DC4294">
            <w:pPr>
              <w:jc w:val="center"/>
              <w:rPr>
                <w:sz w:val="18"/>
                <w:szCs w:val="18"/>
              </w:rPr>
            </w:pPr>
            <w:r w:rsidRPr="00D24609">
              <w:rPr>
                <w:sz w:val="18"/>
                <w:szCs w:val="18"/>
              </w:rPr>
              <w:t>125</w:t>
            </w:r>
          </w:p>
        </w:tc>
        <w:tc>
          <w:tcPr>
            <w:tcW w:w="1197" w:type="dxa"/>
            <w:vAlign w:val="center"/>
          </w:tcPr>
          <w:p w14:paraId="1C20D738" w14:textId="77777777" w:rsidR="00D360F9" w:rsidRPr="00D24609" w:rsidRDefault="00D360F9" w:rsidP="00DC4294">
            <w:pPr>
              <w:jc w:val="center"/>
              <w:rPr>
                <w:sz w:val="18"/>
                <w:szCs w:val="18"/>
              </w:rPr>
            </w:pPr>
            <w:r w:rsidRPr="00D24609">
              <w:rPr>
                <w:sz w:val="18"/>
                <w:szCs w:val="18"/>
              </w:rPr>
              <w:t>11,250</w:t>
            </w:r>
          </w:p>
        </w:tc>
        <w:tc>
          <w:tcPr>
            <w:tcW w:w="1197" w:type="dxa"/>
            <w:vAlign w:val="center"/>
          </w:tcPr>
          <w:p w14:paraId="32ED3DFC" w14:textId="77777777" w:rsidR="00D360F9" w:rsidRPr="00D24609" w:rsidRDefault="00D360F9" w:rsidP="00DC4294">
            <w:pPr>
              <w:jc w:val="center"/>
              <w:rPr>
                <w:sz w:val="18"/>
                <w:szCs w:val="18"/>
              </w:rPr>
            </w:pPr>
          </w:p>
        </w:tc>
        <w:tc>
          <w:tcPr>
            <w:tcW w:w="1197" w:type="dxa"/>
            <w:vAlign w:val="center"/>
          </w:tcPr>
          <w:p w14:paraId="526FC0B1" w14:textId="77777777" w:rsidR="00D360F9" w:rsidRPr="00D24609" w:rsidRDefault="00D360F9" w:rsidP="00DC4294">
            <w:pPr>
              <w:jc w:val="center"/>
              <w:rPr>
                <w:sz w:val="18"/>
                <w:szCs w:val="18"/>
              </w:rPr>
            </w:pPr>
            <w:r>
              <w:rPr>
                <w:sz w:val="18"/>
                <w:szCs w:val="18"/>
              </w:rPr>
              <w:t>60</w:t>
            </w:r>
          </w:p>
        </w:tc>
        <w:tc>
          <w:tcPr>
            <w:tcW w:w="1197" w:type="dxa"/>
            <w:vAlign w:val="center"/>
          </w:tcPr>
          <w:p w14:paraId="24401F78" w14:textId="77777777" w:rsidR="00D360F9" w:rsidRPr="00D24609" w:rsidRDefault="00D360F9" w:rsidP="00DC4294">
            <w:pPr>
              <w:jc w:val="center"/>
              <w:rPr>
                <w:sz w:val="18"/>
                <w:szCs w:val="18"/>
              </w:rPr>
            </w:pPr>
            <w:r>
              <w:rPr>
                <w:sz w:val="18"/>
                <w:szCs w:val="18"/>
              </w:rPr>
              <w:t>5,400</w:t>
            </w:r>
          </w:p>
        </w:tc>
      </w:tr>
      <w:tr w:rsidR="00D360F9" w:rsidRPr="00D24609" w14:paraId="086594E8" w14:textId="77777777" w:rsidTr="00DC4294">
        <w:trPr>
          <w:trHeight w:hRule="exact" w:val="216"/>
        </w:trPr>
        <w:tc>
          <w:tcPr>
            <w:tcW w:w="1197" w:type="dxa"/>
            <w:vAlign w:val="center"/>
          </w:tcPr>
          <w:p w14:paraId="724AA41F" w14:textId="77777777" w:rsidR="00D360F9" w:rsidRPr="00D24609" w:rsidRDefault="00D360F9" w:rsidP="00DC4294">
            <w:pPr>
              <w:jc w:val="center"/>
              <w:rPr>
                <w:b/>
                <w:sz w:val="18"/>
                <w:szCs w:val="18"/>
              </w:rPr>
            </w:pPr>
            <w:r w:rsidRPr="00D24609">
              <w:rPr>
                <w:b/>
                <w:sz w:val="18"/>
                <w:szCs w:val="18"/>
              </w:rPr>
              <w:t>C</w:t>
            </w:r>
          </w:p>
        </w:tc>
        <w:tc>
          <w:tcPr>
            <w:tcW w:w="1197" w:type="dxa"/>
            <w:vAlign w:val="center"/>
          </w:tcPr>
          <w:p w14:paraId="34872A7B" w14:textId="77777777" w:rsidR="00D360F9" w:rsidRPr="00D24609" w:rsidRDefault="00D360F9" w:rsidP="00DC4294">
            <w:pPr>
              <w:jc w:val="center"/>
              <w:rPr>
                <w:sz w:val="18"/>
                <w:szCs w:val="18"/>
              </w:rPr>
            </w:pPr>
          </w:p>
        </w:tc>
        <w:tc>
          <w:tcPr>
            <w:tcW w:w="1197" w:type="dxa"/>
            <w:vAlign w:val="center"/>
          </w:tcPr>
          <w:p w14:paraId="407575D8" w14:textId="77777777" w:rsidR="00D360F9" w:rsidRPr="00D24609" w:rsidRDefault="00D360F9" w:rsidP="00DC4294">
            <w:pPr>
              <w:jc w:val="center"/>
              <w:rPr>
                <w:sz w:val="18"/>
                <w:szCs w:val="18"/>
              </w:rPr>
            </w:pPr>
            <w:r w:rsidRPr="00D24609">
              <w:rPr>
                <w:sz w:val="18"/>
                <w:szCs w:val="18"/>
              </w:rPr>
              <w:t>150</w:t>
            </w:r>
          </w:p>
        </w:tc>
        <w:tc>
          <w:tcPr>
            <w:tcW w:w="1197" w:type="dxa"/>
            <w:vAlign w:val="center"/>
          </w:tcPr>
          <w:p w14:paraId="7536AC0B" w14:textId="77777777" w:rsidR="00D360F9" w:rsidRPr="00D24609" w:rsidRDefault="00D360F9" w:rsidP="00DC4294">
            <w:pPr>
              <w:jc w:val="center"/>
              <w:rPr>
                <w:sz w:val="18"/>
                <w:szCs w:val="18"/>
              </w:rPr>
            </w:pPr>
          </w:p>
        </w:tc>
        <w:tc>
          <w:tcPr>
            <w:tcW w:w="1197" w:type="dxa"/>
            <w:vAlign w:val="center"/>
          </w:tcPr>
          <w:p w14:paraId="4D731443" w14:textId="77777777" w:rsidR="00D360F9" w:rsidRPr="00D24609" w:rsidRDefault="00D360F9" w:rsidP="00DC4294">
            <w:pPr>
              <w:jc w:val="center"/>
              <w:rPr>
                <w:sz w:val="18"/>
                <w:szCs w:val="18"/>
              </w:rPr>
            </w:pPr>
          </w:p>
        </w:tc>
        <w:tc>
          <w:tcPr>
            <w:tcW w:w="1197" w:type="dxa"/>
            <w:vAlign w:val="center"/>
          </w:tcPr>
          <w:p w14:paraId="52DD2854" w14:textId="77777777" w:rsidR="00D360F9" w:rsidRPr="00D24609" w:rsidRDefault="00D360F9" w:rsidP="00DC4294">
            <w:pPr>
              <w:jc w:val="center"/>
              <w:rPr>
                <w:sz w:val="18"/>
                <w:szCs w:val="18"/>
              </w:rPr>
            </w:pPr>
            <w:r>
              <w:rPr>
                <w:sz w:val="18"/>
                <w:szCs w:val="18"/>
              </w:rPr>
              <w:t>120</w:t>
            </w:r>
          </w:p>
        </w:tc>
        <w:tc>
          <w:tcPr>
            <w:tcW w:w="1197" w:type="dxa"/>
            <w:vAlign w:val="center"/>
          </w:tcPr>
          <w:p w14:paraId="0960FE21" w14:textId="77777777" w:rsidR="00D360F9" w:rsidRPr="00D24609" w:rsidRDefault="00D360F9" w:rsidP="00DC4294">
            <w:pPr>
              <w:jc w:val="center"/>
              <w:rPr>
                <w:sz w:val="18"/>
                <w:szCs w:val="18"/>
              </w:rPr>
            </w:pPr>
          </w:p>
        </w:tc>
        <w:tc>
          <w:tcPr>
            <w:tcW w:w="1197" w:type="dxa"/>
            <w:vAlign w:val="center"/>
          </w:tcPr>
          <w:p w14:paraId="6901E2C5" w14:textId="77777777" w:rsidR="00D360F9" w:rsidRPr="00D24609" w:rsidRDefault="00D360F9" w:rsidP="00DC4294">
            <w:pPr>
              <w:jc w:val="center"/>
              <w:rPr>
                <w:sz w:val="18"/>
                <w:szCs w:val="18"/>
              </w:rPr>
            </w:pPr>
          </w:p>
        </w:tc>
      </w:tr>
      <w:tr w:rsidR="00D360F9" w:rsidRPr="00D24609" w14:paraId="6DE07DDF" w14:textId="77777777" w:rsidTr="00DC4294">
        <w:trPr>
          <w:trHeight w:hRule="exact" w:val="216"/>
        </w:trPr>
        <w:tc>
          <w:tcPr>
            <w:tcW w:w="1197" w:type="dxa"/>
            <w:vAlign w:val="center"/>
          </w:tcPr>
          <w:p w14:paraId="3C0E4CFE" w14:textId="77777777" w:rsidR="00D360F9" w:rsidRPr="00D24609" w:rsidRDefault="00D360F9" w:rsidP="00DC4294">
            <w:pPr>
              <w:jc w:val="center"/>
              <w:rPr>
                <w:b/>
                <w:sz w:val="18"/>
                <w:szCs w:val="18"/>
              </w:rPr>
            </w:pPr>
          </w:p>
        </w:tc>
        <w:tc>
          <w:tcPr>
            <w:tcW w:w="1197" w:type="dxa"/>
            <w:vAlign w:val="center"/>
          </w:tcPr>
          <w:p w14:paraId="0BAC7568" w14:textId="77777777" w:rsidR="00D360F9" w:rsidRPr="00D24609" w:rsidRDefault="00D360F9" w:rsidP="00DC4294">
            <w:pPr>
              <w:jc w:val="center"/>
              <w:rPr>
                <w:sz w:val="18"/>
                <w:szCs w:val="18"/>
              </w:rPr>
            </w:pPr>
            <w:r w:rsidRPr="00D24609">
              <w:rPr>
                <w:sz w:val="18"/>
                <w:szCs w:val="18"/>
              </w:rPr>
              <w:t>100</w:t>
            </w:r>
          </w:p>
        </w:tc>
        <w:tc>
          <w:tcPr>
            <w:tcW w:w="1197" w:type="dxa"/>
            <w:vAlign w:val="center"/>
          </w:tcPr>
          <w:p w14:paraId="7220D50B" w14:textId="77777777" w:rsidR="00D360F9" w:rsidRPr="00D24609" w:rsidRDefault="00D360F9" w:rsidP="00DC4294">
            <w:pPr>
              <w:jc w:val="center"/>
              <w:rPr>
                <w:sz w:val="18"/>
                <w:szCs w:val="18"/>
              </w:rPr>
            </w:pPr>
          </w:p>
        </w:tc>
        <w:tc>
          <w:tcPr>
            <w:tcW w:w="1197" w:type="dxa"/>
            <w:vAlign w:val="center"/>
          </w:tcPr>
          <w:p w14:paraId="709A0506" w14:textId="77777777" w:rsidR="00D360F9" w:rsidRPr="00D24609" w:rsidRDefault="00D360F9" w:rsidP="00DC4294">
            <w:pPr>
              <w:jc w:val="center"/>
              <w:rPr>
                <w:sz w:val="18"/>
                <w:szCs w:val="18"/>
              </w:rPr>
            </w:pPr>
            <w:r w:rsidRPr="00D24609">
              <w:rPr>
                <w:sz w:val="18"/>
                <w:szCs w:val="18"/>
              </w:rPr>
              <w:t>125</w:t>
            </w:r>
          </w:p>
        </w:tc>
        <w:tc>
          <w:tcPr>
            <w:tcW w:w="1197" w:type="dxa"/>
            <w:vAlign w:val="center"/>
          </w:tcPr>
          <w:p w14:paraId="5FBFA519" w14:textId="77777777" w:rsidR="00D360F9" w:rsidRPr="00D24609" w:rsidRDefault="00D360F9" w:rsidP="00DC4294">
            <w:pPr>
              <w:jc w:val="center"/>
              <w:rPr>
                <w:sz w:val="18"/>
                <w:szCs w:val="18"/>
              </w:rPr>
            </w:pPr>
            <w:r w:rsidRPr="00D24609">
              <w:rPr>
                <w:sz w:val="18"/>
                <w:szCs w:val="18"/>
              </w:rPr>
              <w:t>12,500</w:t>
            </w:r>
          </w:p>
        </w:tc>
        <w:tc>
          <w:tcPr>
            <w:tcW w:w="1197" w:type="dxa"/>
            <w:vAlign w:val="center"/>
          </w:tcPr>
          <w:p w14:paraId="562D9BE7" w14:textId="77777777" w:rsidR="00D360F9" w:rsidRPr="00D24609" w:rsidRDefault="00D360F9" w:rsidP="00DC4294">
            <w:pPr>
              <w:jc w:val="center"/>
              <w:rPr>
                <w:sz w:val="18"/>
                <w:szCs w:val="18"/>
              </w:rPr>
            </w:pPr>
          </w:p>
        </w:tc>
        <w:tc>
          <w:tcPr>
            <w:tcW w:w="1197" w:type="dxa"/>
            <w:vAlign w:val="center"/>
          </w:tcPr>
          <w:p w14:paraId="2EC2D55F" w14:textId="77777777" w:rsidR="00D360F9" w:rsidRPr="00D24609" w:rsidRDefault="00D360F9" w:rsidP="00DC4294">
            <w:pPr>
              <w:jc w:val="center"/>
              <w:rPr>
                <w:sz w:val="18"/>
                <w:szCs w:val="18"/>
              </w:rPr>
            </w:pPr>
            <w:r>
              <w:rPr>
                <w:sz w:val="18"/>
                <w:szCs w:val="18"/>
              </w:rPr>
              <w:t>195</w:t>
            </w:r>
          </w:p>
        </w:tc>
        <w:tc>
          <w:tcPr>
            <w:tcW w:w="1197" w:type="dxa"/>
            <w:vAlign w:val="center"/>
          </w:tcPr>
          <w:p w14:paraId="038058EF" w14:textId="77777777" w:rsidR="00D360F9" w:rsidRPr="00D24609" w:rsidRDefault="00D360F9" w:rsidP="00DC4294">
            <w:pPr>
              <w:jc w:val="center"/>
              <w:rPr>
                <w:sz w:val="18"/>
                <w:szCs w:val="18"/>
              </w:rPr>
            </w:pPr>
            <w:r>
              <w:rPr>
                <w:sz w:val="18"/>
                <w:szCs w:val="18"/>
              </w:rPr>
              <w:t>19,500</w:t>
            </w:r>
          </w:p>
        </w:tc>
      </w:tr>
      <w:tr w:rsidR="00D360F9" w:rsidRPr="00D24609" w14:paraId="7EF59B11" w14:textId="77777777" w:rsidTr="00DC4294">
        <w:trPr>
          <w:trHeight w:hRule="exact" w:val="216"/>
        </w:trPr>
        <w:tc>
          <w:tcPr>
            <w:tcW w:w="1197" w:type="dxa"/>
            <w:vAlign w:val="center"/>
          </w:tcPr>
          <w:p w14:paraId="5849C4ED" w14:textId="77777777" w:rsidR="00D360F9" w:rsidRPr="00D24609" w:rsidRDefault="00D360F9" w:rsidP="00DC4294">
            <w:pPr>
              <w:jc w:val="center"/>
              <w:rPr>
                <w:b/>
                <w:sz w:val="18"/>
                <w:szCs w:val="18"/>
              </w:rPr>
            </w:pPr>
            <w:r w:rsidRPr="00D24609">
              <w:rPr>
                <w:b/>
                <w:sz w:val="18"/>
                <w:szCs w:val="18"/>
              </w:rPr>
              <w:t>D</w:t>
            </w:r>
          </w:p>
        </w:tc>
        <w:tc>
          <w:tcPr>
            <w:tcW w:w="1197" w:type="dxa"/>
            <w:vAlign w:val="center"/>
          </w:tcPr>
          <w:p w14:paraId="2114AE1D" w14:textId="77777777" w:rsidR="00D360F9" w:rsidRPr="00D24609" w:rsidRDefault="00D360F9" w:rsidP="00DC4294">
            <w:pPr>
              <w:jc w:val="center"/>
              <w:rPr>
                <w:sz w:val="18"/>
                <w:szCs w:val="18"/>
              </w:rPr>
            </w:pPr>
          </w:p>
        </w:tc>
        <w:tc>
          <w:tcPr>
            <w:tcW w:w="1197" w:type="dxa"/>
            <w:vAlign w:val="center"/>
          </w:tcPr>
          <w:p w14:paraId="3168453C" w14:textId="77777777" w:rsidR="00D360F9" w:rsidRPr="00D24609" w:rsidRDefault="00D360F9" w:rsidP="00DC4294">
            <w:pPr>
              <w:jc w:val="center"/>
              <w:rPr>
                <w:sz w:val="18"/>
                <w:szCs w:val="18"/>
              </w:rPr>
            </w:pPr>
            <w:r w:rsidRPr="00D24609">
              <w:rPr>
                <w:sz w:val="18"/>
                <w:szCs w:val="18"/>
              </w:rPr>
              <w:t>100</w:t>
            </w:r>
          </w:p>
        </w:tc>
        <w:tc>
          <w:tcPr>
            <w:tcW w:w="1197" w:type="dxa"/>
            <w:vAlign w:val="center"/>
          </w:tcPr>
          <w:p w14:paraId="0834D934" w14:textId="77777777" w:rsidR="00D360F9" w:rsidRPr="00D24609" w:rsidRDefault="00D360F9" w:rsidP="00DC4294">
            <w:pPr>
              <w:jc w:val="center"/>
              <w:rPr>
                <w:sz w:val="18"/>
                <w:szCs w:val="18"/>
              </w:rPr>
            </w:pPr>
          </w:p>
        </w:tc>
        <w:tc>
          <w:tcPr>
            <w:tcW w:w="1197" w:type="dxa"/>
            <w:vAlign w:val="center"/>
          </w:tcPr>
          <w:p w14:paraId="6E7D6186" w14:textId="77777777" w:rsidR="00D360F9" w:rsidRPr="00D24609" w:rsidRDefault="00D360F9" w:rsidP="00DC4294">
            <w:pPr>
              <w:jc w:val="center"/>
              <w:rPr>
                <w:sz w:val="18"/>
                <w:szCs w:val="18"/>
              </w:rPr>
            </w:pPr>
          </w:p>
        </w:tc>
        <w:tc>
          <w:tcPr>
            <w:tcW w:w="1197" w:type="dxa"/>
            <w:vAlign w:val="center"/>
          </w:tcPr>
          <w:p w14:paraId="5B135660" w14:textId="77777777" w:rsidR="00D360F9" w:rsidRPr="00D24609" w:rsidRDefault="00D360F9" w:rsidP="00DC4294">
            <w:pPr>
              <w:jc w:val="center"/>
              <w:rPr>
                <w:sz w:val="18"/>
                <w:szCs w:val="18"/>
              </w:rPr>
            </w:pPr>
            <w:r>
              <w:rPr>
                <w:sz w:val="18"/>
                <w:szCs w:val="18"/>
              </w:rPr>
              <w:t>270</w:t>
            </w:r>
          </w:p>
        </w:tc>
        <w:tc>
          <w:tcPr>
            <w:tcW w:w="1197" w:type="dxa"/>
            <w:vAlign w:val="center"/>
          </w:tcPr>
          <w:p w14:paraId="0FE59518" w14:textId="77777777" w:rsidR="00D360F9" w:rsidRPr="00D24609" w:rsidRDefault="00D360F9" w:rsidP="00DC4294">
            <w:pPr>
              <w:jc w:val="center"/>
              <w:rPr>
                <w:sz w:val="18"/>
                <w:szCs w:val="18"/>
              </w:rPr>
            </w:pPr>
          </w:p>
        </w:tc>
        <w:tc>
          <w:tcPr>
            <w:tcW w:w="1197" w:type="dxa"/>
            <w:vAlign w:val="center"/>
          </w:tcPr>
          <w:p w14:paraId="759562A0" w14:textId="77777777" w:rsidR="00D360F9" w:rsidRPr="00D24609" w:rsidRDefault="00D360F9" w:rsidP="00DC4294">
            <w:pPr>
              <w:jc w:val="center"/>
              <w:rPr>
                <w:sz w:val="18"/>
                <w:szCs w:val="18"/>
              </w:rPr>
            </w:pPr>
          </w:p>
        </w:tc>
      </w:tr>
      <w:tr w:rsidR="00D360F9" w:rsidRPr="00D24609" w14:paraId="57553EC5" w14:textId="77777777" w:rsidTr="00DC4294">
        <w:trPr>
          <w:trHeight w:hRule="exact" w:val="216"/>
        </w:trPr>
        <w:tc>
          <w:tcPr>
            <w:tcW w:w="1197" w:type="dxa"/>
            <w:vAlign w:val="center"/>
          </w:tcPr>
          <w:p w14:paraId="2F4AE0A0" w14:textId="77777777" w:rsidR="00D360F9" w:rsidRPr="00D24609" w:rsidRDefault="00D360F9" w:rsidP="00DC4294">
            <w:pPr>
              <w:jc w:val="center"/>
              <w:rPr>
                <w:b/>
                <w:sz w:val="18"/>
                <w:szCs w:val="18"/>
              </w:rPr>
            </w:pPr>
          </w:p>
        </w:tc>
        <w:tc>
          <w:tcPr>
            <w:tcW w:w="1197" w:type="dxa"/>
            <w:vAlign w:val="center"/>
          </w:tcPr>
          <w:p w14:paraId="669820EE" w14:textId="77777777" w:rsidR="00D360F9" w:rsidRPr="00D24609" w:rsidRDefault="00D360F9" w:rsidP="00DC4294">
            <w:pPr>
              <w:jc w:val="center"/>
              <w:rPr>
                <w:sz w:val="18"/>
                <w:szCs w:val="18"/>
              </w:rPr>
            </w:pPr>
            <w:r w:rsidRPr="00D24609">
              <w:rPr>
                <w:sz w:val="18"/>
                <w:szCs w:val="18"/>
              </w:rPr>
              <w:t>100</w:t>
            </w:r>
          </w:p>
        </w:tc>
        <w:tc>
          <w:tcPr>
            <w:tcW w:w="1197" w:type="dxa"/>
            <w:vAlign w:val="center"/>
          </w:tcPr>
          <w:p w14:paraId="75343D40" w14:textId="77777777" w:rsidR="00D360F9" w:rsidRPr="00D24609" w:rsidRDefault="00D360F9" w:rsidP="00DC4294">
            <w:pPr>
              <w:jc w:val="center"/>
              <w:rPr>
                <w:sz w:val="18"/>
                <w:szCs w:val="18"/>
              </w:rPr>
            </w:pPr>
          </w:p>
        </w:tc>
        <w:tc>
          <w:tcPr>
            <w:tcW w:w="1197" w:type="dxa"/>
            <w:vAlign w:val="center"/>
          </w:tcPr>
          <w:p w14:paraId="701EA494" w14:textId="77777777" w:rsidR="00D360F9" w:rsidRPr="00D24609" w:rsidRDefault="00D360F9" w:rsidP="00DC4294">
            <w:pPr>
              <w:jc w:val="center"/>
              <w:rPr>
                <w:sz w:val="18"/>
                <w:szCs w:val="18"/>
              </w:rPr>
            </w:pPr>
            <w:r w:rsidRPr="00D24609">
              <w:rPr>
                <w:sz w:val="18"/>
                <w:szCs w:val="18"/>
              </w:rPr>
              <w:t>50</w:t>
            </w:r>
          </w:p>
        </w:tc>
        <w:tc>
          <w:tcPr>
            <w:tcW w:w="1197" w:type="dxa"/>
            <w:vAlign w:val="center"/>
          </w:tcPr>
          <w:p w14:paraId="629CA3FF" w14:textId="77777777" w:rsidR="00D360F9" w:rsidRPr="00D24609" w:rsidRDefault="00D360F9" w:rsidP="00DC4294">
            <w:pPr>
              <w:jc w:val="center"/>
              <w:rPr>
                <w:sz w:val="18"/>
                <w:szCs w:val="18"/>
              </w:rPr>
            </w:pPr>
            <w:r w:rsidRPr="00D24609">
              <w:rPr>
                <w:sz w:val="18"/>
                <w:szCs w:val="18"/>
              </w:rPr>
              <w:t>5,000</w:t>
            </w:r>
          </w:p>
        </w:tc>
        <w:tc>
          <w:tcPr>
            <w:tcW w:w="1197" w:type="dxa"/>
            <w:vAlign w:val="center"/>
          </w:tcPr>
          <w:p w14:paraId="2E4C4C93" w14:textId="77777777" w:rsidR="00D360F9" w:rsidRPr="00D24609" w:rsidRDefault="00D360F9" w:rsidP="00DC4294">
            <w:pPr>
              <w:jc w:val="center"/>
              <w:rPr>
                <w:sz w:val="18"/>
                <w:szCs w:val="18"/>
              </w:rPr>
            </w:pPr>
          </w:p>
        </w:tc>
        <w:tc>
          <w:tcPr>
            <w:tcW w:w="1197" w:type="dxa"/>
            <w:vAlign w:val="center"/>
          </w:tcPr>
          <w:p w14:paraId="40225C33" w14:textId="77777777" w:rsidR="00D360F9" w:rsidRPr="00D24609" w:rsidRDefault="00D360F9" w:rsidP="00DC4294">
            <w:pPr>
              <w:jc w:val="center"/>
              <w:rPr>
                <w:sz w:val="18"/>
                <w:szCs w:val="18"/>
              </w:rPr>
            </w:pPr>
            <w:r>
              <w:rPr>
                <w:sz w:val="18"/>
                <w:szCs w:val="18"/>
              </w:rPr>
              <w:t>300</w:t>
            </w:r>
          </w:p>
        </w:tc>
        <w:tc>
          <w:tcPr>
            <w:tcW w:w="1197" w:type="dxa"/>
            <w:vAlign w:val="center"/>
          </w:tcPr>
          <w:p w14:paraId="0137DE3B" w14:textId="77777777" w:rsidR="00D360F9" w:rsidRPr="00D24609" w:rsidRDefault="00D360F9" w:rsidP="00DC4294">
            <w:pPr>
              <w:jc w:val="center"/>
              <w:rPr>
                <w:sz w:val="18"/>
                <w:szCs w:val="18"/>
              </w:rPr>
            </w:pPr>
            <w:r>
              <w:rPr>
                <w:sz w:val="18"/>
                <w:szCs w:val="18"/>
              </w:rPr>
              <w:t>30,000</w:t>
            </w:r>
          </w:p>
        </w:tc>
      </w:tr>
      <w:tr w:rsidR="00D360F9" w:rsidRPr="00D24609" w14:paraId="52D14BA8" w14:textId="77777777" w:rsidTr="00DC4294">
        <w:trPr>
          <w:trHeight w:hRule="exact" w:val="216"/>
        </w:trPr>
        <w:tc>
          <w:tcPr>
            <w:tcW w:w="1197" w:type="dxa"/>
            <w:vAlign w:val="center"/>
          </w:tcPr>
          <w:p w14:paraId="7C55F464" w14:textId="77777777" w:rsidR="00D360F9" w:rsidRPr="00D24609" w:rsidRDefault="00D360F9" w:rsidP="00DC4294">
            <w:pPr>
              <w:jc w:val="center"/>
              <w:rPr>
                <w:b/>
                <w:sz w:val="18"/>
                <w:szCs w:val="18"/>
              </w:rPr>
            </w:pPr>
            <w:r w:rsidRPr="00D24609">
              <w:rPr>
                <w:b/>
                <w:sz w:val="18"/>
                <w:szCs w:val="18"/>
              </w:rPr>
              <w:t>E</w:t>
            </w:r>
          </w:p>
        </w:tc>
        <w:tc>
          <w:tcPr>
            <w:tcW w:w="1197" w:type="dxa"/>
            <w:vAlign w:val="center"/>
          </w:tcPr>
          <w:p w14:paraId="088D8A0E" w14:textId="77777777" w:rsidR="00D360F9" w:rsidRPr="00D24609" w:rsidRDefault="00D360F9" w:rsidP="00DC4294">
            <w:pPr>
              <w:jc w:val="center"/>
              <w:rPr>
                <w:sz w:val="18"/>
                <w:szCs w:val="18"/>
              </w:rPr>
            </w:pPr>
          </w:p>
        </w:tc>
        <w:tc>
          <w:tcPr>
            <w:tcW w:w="1197" w:type="dxa"/>
            <w:vAlign w:val="center"/>
          </w:tcPr>
          <w:p w14:paraId="38F5F9F4" w14:textId="77777777" w:rsidR="00D360F9" w:rsidRPr="00D24609" w:rsidRDefault="00D360F9" w:rsidP="00DC4294">
            <w:pPr>
              <w:jc w:val="center"/>
              <w:rPr>
                <w:sz w:val="18"/>
                <w:szCs w:val="18"/>
              </w:rPr>
            </w:pPr>
            <w:r w:rsidRPr="00D24609">
              <w:rPr>
                <w:sz w:val="18"/>
                <w:szCs w:val="18"/>
              </w:rPr>
              <w:t>0</w:t>
            </w:r>
          </w:p>
        </w:tc>
        <w:tc>
          <w:tcPr>
            <w:tcW w:w="1197" w:type="dxa"/>
            <w:vAlign w:val="center"/>
          </w:tcPr>
          <w:p w14:paraId="4F82C854" w14:textId="77777777" w:rsidR="00D360F9" w:rsidRPr="00D24609" w:rsidRDefault="00D360F9" w:rsidP="00DC4294">
            <w:pPr>
              <w:jc w:val="center"/>
              <w:rPr>
                <w:sz w:val="18"/>
                <w:szCs w:val="18"/>
              </w:rPr>
            </w:pPr>
          </w:p>
        </w:tc>
        <w:tc>
          <w:tcPr>
            <w:tcW w:w="1197" w:type="dxa"/>
            <w:vAlign w:val="center"/>
          </w:tcPr>
          <w:p w14:paraId="674C0B51" w14:textId="77777777" w:rsidR="00D360F9" w:rsidRPr="00D24609" w:rsidRDefault="00D360F9" w:rsidP="00DC4294">
            <w:pPr>
              <w:jc w:val="center"/>
              <w:rPr>
                <w:sz w:val="18"/>
                <w:szCs w:val="18"/>
              </w:rPr>
            </w:pPr>
          </w:p>
        </w:tc>
        <w:tc>
          <w:tcPr>
            <w:tcW w:w="1197" w:type="dxa"/>
            <w:vAlign w:val="center"/>
          </w:tcPr>
          <w:p w14:paraId="6B5B033B" w14:textId="77777777" w:rsidR="00D360F9" w:rsidRPr="00D24609" w:rsidRDefault="00D360F9" w:rsidP="00DC4294">
            <w:pPr>
              <w:jc w:val="center"/>
              <w:rPr>
                <w:sz w:val="18"/>
                <w:szCs w:val="18"/>
              </w:rPr>
            </w:pPr>
            <w:r>
              <w:rPr>
                <w:sz w:val="18"/>
                <w:szCs w:val="18"/>
              </w:rPr>
              <w:t>330</w:t>
            </w:r>
          </w:p>
        </w:tc>
        <w:tc>
          <w:tcPr>
            <w:tcW w:w="1197" w:type="dxa"/>
            <w:vAlign w:val="center"/>
          </w:tcPr>
          <w:p w14:paraId="1D97E25A" w14:textId="77777777" w:rsidR="00D360F9" w:rsidRPr="00D24609" w:rsidRDefault="00D360F9" w:rsidP="00DC4294">
            <w:pPr>
              <w:jc w:val="center"/>
              <w:rPr>
                <w:sz w:val="18"/>
                <w:szCs w:val="18"/>
              </w:rPr>
            </w:pPr>
          </w:p>
        </w:tc>
        <w:tc>
          <w:tcPr>
            <w:tcW w:w="1197" w:type="dxa"/>
            <w:vAlign w:val="center"/>
          </w:tcPr>
          <w:p w14:paraId="66D34A2B" w14:textId="77777777" w:rsidR="00D360F9" w:rsidRPr="00D24609" w:rsidRDefault="00D360F9" w:rsidP="00DC4294">
            <w:pPr>
              <w:jc w:val="center"/>
              <w:rPr>
                <w:sz w:val="18"/>
                <w:szCs w:val="18"/>
              </w:rPr>
            </w:pPr>
          </w:p>
        </w:tc>
      </w:tr>
      <w:tr w:rsidR="00D360F9" w:rsidRPr="00D24609" w14:paraId="16D47B09" w14:textId="77777777" w:rsidTr="00DC4294">
        <w:trPr>
          <w:trHeight w:hRule="exact" w:val="216"/>
        </w:trPr>
        <w:tc>
          <w:tcPr>
            <w:tcW w:w="1197" w:type="dxa"/>
            <w:vAlign w:val="center"/>
          </w:tcPr>
          <w:p w14:paraId="4250456C" w14:textId="77777777" w:rsidR="00D360F9" w:rsidRPr="00D24609" w:rsidRDefault="00D360F9" w:rsidP="00DC4294">
            <w:pPr>
              <w:jc w:val="center"/>
              <w:rPr>
                <w:b/>
                <w:sz w:val="18"/>
                <w:szCs w:val="18"/>
              </w:rPr>
            </w:pPr>
          </w:p>
        </w:tc>
        <w:tc>
          <w:tcPr>
            <w:tcW w:w="1197" w:type="dxa"/>
            <w:vAlign w:val="center"/>
          </w:tcPr>
          <w:p w14:paraId="1C840E76" w14:textId="77777777" w:rsidR="00D360F9" w:rsidRPr="00D24609" w:rsidRDefault="00D360F9" w:rsidP="00DC4294">
            <w:pPr>
              <w:jc w:val="center"/>
              <w:rPr>
                <w:sz w:val="18"/>
                <w:szCs w:val="18"/>
              </w:rPr>
            </w:pPr>
            <w:r w:rsidRPr="00D24609">
              <w:rPr>
                <w:sz w:val="18"/>
                <w:szCs w:val="18"/>
              </w:rPr>
              <w:t>100</w:t>
            </w:r>
          </w:p>
        </w:tc>
        <w:tc>
          <w:tcPr>
            <w:tcW w:w="1197" w:type="dxa"/>
            <w:vAlign w:val="center"/>
          </w:tcPr>
          <w:p w14:paraId="112B909F" w14:textId="77777777" w:rsidR="00D360F9" w:rsidRPr="00D24609" w:rsidRDefault="00D360F9" w:rsidP="00DC4294">
            <w:pPr>
              <w:jc w:val="center"/>
              <w:rPr>
                <w:sz w:val="18"/>
                <w:szCs w:val="18"/>
              </w:rPr>
            </w:pPr>
          </w:p>
        </w:tc>
        <w:tc>
          <w:tcPr>
            <w:tcW w:w="1197" w:type="dxa"/>
            <w:vAlign w:val="center"/>
          </w:tcPr>
          <w:p w14:paraId="4F57EFBD" w14:textId="77777777" w:rsidR="00D360F9" w:rsidRPr="00D24609" w:rsidRDefault="00D360F9" w:rsidP="00DC4294">
            <w:pPr>
              <w:jc w:val="center"/>
              <w:rPr>
                <w:sz w:val="18"/>
                <w:szCs w:val="18"/>
              </w:rPr>
            </w:pPr>
            <w:r w:rsidRPr="00D24609">
              <w:rPr>
                <w:sz w:val="18"/>
                <w:szCs w:val="18"/>
              </w:rPr>
              <w:t>0</w:t>
            </w:r>
          </w:p>
        </w:tc>
        <w:tc>
          <w:tcPr>
            <w:tcW w:w="1197" w:type="dxa"/>
            <w:vAlign w:val="center"/>
          </w:tcPr>
          <w:p w14:paraId="7B95068A" w14:textId="77777777" w:rsidR="00D360F9" w:rsidRPr="00D24609" w:rsidRDefault="00D360F9" w:rsidP="00DC4294">
            <w:pPr>
              <w:jc w:val="center"/>
              <w:rPr>
                <w:sz w:val="18"/>
                <w:szCs w:val="18"/>
              </w:rPr>
            </w:pPr>
            <w:r w:rsidRPr="00D24609">
              <w:rPr>
                <w:sz w:val="18"/>
                <w:szCs w:val="18"/>
              </w:rPr>
              <w:t>0</w:t>
            </w:r>
          </w:p>
        </w:tc>
        <w:tc>
          <w:tcPr>
            <w:tcW w:w="1197" w:type="dxa"/>
            <w:vAlign w:val="center"/>
          </w:tcPr>
          <w:p w14:paraId="1F28D704" w14:textId="77777777" w:rsidR="00D360F9" w:rsidRPr="00D24609" w:rsidRDefault="00D360F9" w:rsidP="00DC4294">
            <w:pPr>
              <w:jc w:val="center"/>
              <w:rPr>
                <w:sz w:val="18"/>
                <w:szCs w:val="18"/>
              </w:rPr>
            </w:pPr>
          </w:p>
        </w:tc>
        <w:tc>
          <w:tcPr>
            <w:tcW w:w="1197" w:type="dxa"/>
            <w:vAlign w:val="center"/>
          </w:tcPr>
          <w:p w14:paraId="7CCD8A18" w14:textId="77777777" w:rsidR="00D360F9" w:rsidRPr="00D24609" w:rsidRDefault="00D360F9" w:rsidP="00DC4294">
            <w:pPr>
              <w:jc w:val="center"/>
              <w:rPr>
                <w:sz w:val="18"/>
                <w:szCs w:val="18"/>
              </w:rPr>
            </w:pPr>
            <w:r>
              <w:rPr>
                <w:sz w:val="18"/>
                <w:szCs w:val="18"/>
              </w:rPr>
              <w:t>360</w:t>
            </w:r>
          </w:p>
        </w:tc>
        <w:tc>
          <w:tcPr>
            <w:tcW w:w="1197" w:type="dxa"/>
            <w:vAlign w:val="center"/>
          </w:tcPr>
          <w:p w14:paraId="7437AC28" w14:textId="77777777" w:rsidR="00D360F9" w:rsidRPr="00D24609" w:rsidRDefault="00D360F9" w:rsidP="00DC4294">
            <w:pPr>
              <w:jc w:val="center"/>
              <w:rPr>
                <w:sz w:val="18"/>
                <w:szCs w:val="18"/>
              </w:rPr>
            </w:pPr>
            <w:r>
              <w:rPr>
                <w:sz w:val="18"/>
                <w:szCs w:val="18"/>
              </w:rPr>
              <w:t>36,000</w:t>
            </w:r>
          </w:p>
        </w:tc>
      </w:tr>
      <w:tr w:rsidR="00D360F9" w:rsidRPr="00D24609" w14:paraId="49C77AA1" w14:textId="77777777" w:rsidTr="00DC4294">
        <w:trPr>
          <w:trHeight w:hRule="exact" w:val="216"/>
        </w:trPr>
        <w:tc>
          <w:tcPr>
            <w:tcW w:w="1197" w:type="dxa"/>
            <w:vAlign w:val="center"/>
          </w:tcPr>
          <w:p w14:paraId="7080CF86" w14:textId="77777777" w:rsidR="00D360F9" w:rsidRPr="00D24609" w:rsidRDefault="00D360F9" w:rsidP="00DC4294">
            <w:pPr>
              <w:jc w:val="center"/>
              <w:rPr>
                <w:b/>
                <w:sz w:val="18"/>
                <w:szCs w:val="18"/>
              </w:rPr>
            </w:pPr>
            <w:r w:rsidRPr="00D24609">
              <w:rPr>
                <w:b/>
                <w:sz w:val="18"/>
                <w:szCs w:val="18"/>
              </w:rPr>
              <w:t>F</w:t>
            </w:r>
          </w:p>
        </w:tc>
        <w:tc>
          <w:tcPr>
            <w:tcW w:w="1197" w:type="dxa"/>
            <w:vAlign w:val="center"/>
          </w:tcPr>
          <w:p w14:paraId="18A63DEB" w14:textId="77777777" w:rsidR="00D360F9" w:rsidRPr="00D24609" w:rsidRDefault="00D360F9" w:rsidP="00DC4294">
            <w:pPr>
              <w:jc w:val="center"/>
              <w:rPr>
                <w:sz w:val="18"/>
                <w:szCs w:val="18"/>
              </w:rPr>
            </w:pPr>
          </w:p>
        </w:tc>
        <w:tc>
          <w:tcPr>
            <w:tcW w:w="1197" w:type="dxa"/>
            <w:vAlign w:val="center"/>
          </w:tcPr>
          <w:p w14:paraId="3CA22C20" w14:textId="77777777" w:rsidR="00D360F9" w:rsidRPr="00D24609" w:rsidRDefault="00D360F9" w:rsidP="00DC4294">
            <w:pPr>
              <w:jc w:val="center"/>
              <w:rPr>
                <w:sz w:val="18"/>
                <w:szCs w:val="18"/>
              </w:rPr>
            </w:pPr>
            <w:r w:rsidRPr="00D24609">
              <w:rPr>
                <w:sz w:val="18"/>
                <w:szCs w:val="18"/>
              </w:rPr>
              <w:t>0</w:t>
            </w:r>
          </w:p>
        </w:tc>
        <w:tc>
          <w:tcPr>
            <w:tcW w:w="1197" w:type="dxa"/>
            <w:vAlign w:val="center"/>
          </w:tcPr>
          <w:p w14:paraId="3483939A" w14:textId="77777777" w:rsidR="00D360F9" w:rsidRPr="00D24609" w:rsidRDefault="00D360F9" w:rsidP="00DC4294">
            <w:pPr>
              <w:jc w:val="center"/>
              <w:rPr>
                <w:sz w:val="18"/>
                <w:szCs w:val="18"/>
              </w:rPr>
            </w:pPr>
          </w:p>
        </w:tc>
        <w:tc>
          <w:tcPr>
            <w:tcW w:w="1197" w:type="dxa"/>
            <w:vAlign w:val="center"/>
          </w:tcPr>
          <w:p w14:paraId="36C25BD4" w14:textId="77777777" w:rsidR="00D360F9" w:rsidRPr="00D24609" w:rsidRDefault="00D360F9" w:rsidP="00DC4294">
            <w:pPr>
              <w:jc w:val="center"/>
              <w:rPr>
                <w:sz w:val="18"/>
                <w:szCs w:val="18"/>
              </w:rPr>
            </w:pPr>
          </w:p>
        </w:tc>
        <w:tc>
          <w:tcPr>
            <w:tcW w:w="1197" w:type="dxa"/>
            <w:vAlign w:val="center"/>
          </w:tcPr>
          <w:p w14:paraId="5949A889" w14:textId="77777777" w:rsidR="00D360F9" w:rsidRPr="00D24609" w:rsidRDefault="00D360F9" w:rsidP="00DC4294">
            <w:pPr>
              <w:jc w:val="center"/>
              <w:rPr>
                <w:sz w:val="18"/>
                <w:szCs w:val="18"/>
              </w:rPr>
            </w:pPr>
            <w:r>
              <w:rPr>
                <w:sz w:val="18"/>
                <w:szCs w:val="18"/>
              </w:rPr>
              <w:t>390</w:t>
            </w:r>
          </w:p>
        </w:tc>
        <w:tc>
          <w:tcPr>
            <w:tcW w:w="1197" w:type="dxa"/>
            <w:vAlign w:val="center"/>
          </w:tcPr>
          <w:p w14:paraId="79D36569" w14:textId="77777777" w:rsidR="00D360F9" w:rsidRPr="00D24609" w:rsidRDefault="00D360F9" w:rsidP="00DC4294">
            <w:pPr>
              <w:jc w:val="center"/>
              <w:rPr>
                <w:sz w:val="18"/>
                <w:szCs w:val="18"/>
              </w:rPr>
            </w:pPr>
          </w:p>
        </w:tc>
        <w:tc>
          <w:tcPr>
            <w:tcW w:w="1197" w:type="dxa"/>
            <w:vAlign w:val="center"/>
          </w:tcPr>
          <w:p w14:paraId="3DE65E96" w14:textId="77777777" w:rsidR="00D360F9" w:rsidRPr="00D24609" w:rsidRDefault="00D360F9" w:rsidP="00DC4294">
            <w:pPr>
              <w:jc w:val="center"/>
              <w:rPr>
                <w:sz w:val="18"/>
                <w:szCs w:val="18"/>
              </w:rPr>
            </w:pPr>
          </w:p>
        </w:tc>
      </w:tr>
      <w:tr w:rsidR="00D360F9" w:rsidRPr="00D24609" w14:paraId="299E9174" w14:textId="77777777" w:rsidTr="00DC4294">
        <w:trPr>
          <w:trHeight w:hRule="exact" w:val="216"/>
        </w:trPr>
        <w:tc>
          <w:tcPr>
            <w:tcW w:w="1197" w:type="dxa"/>
            <w:vAlign w:val="center"/>
          </w:tcPr>
          <w:p w14:paraId="04B8600A" w14:textId="77777777" w:rsidR="00D360F9" w:rsidRPr="00D24609" w:rsidRDefault="00D360F9" w:rsidP="00DC4294">
            <w:pPr>
              <w:jc w:val="center"/>
              <w:rPr>
                <w:b/>
                <w:sz w:val="18"/>
                <w:szCs w:val="18"/>
              </w:rPr>
            </w:pPr>
          </w:p>
        </w:tc>
        <w:tc>
          <w:tcPr>
            <w:tcW w:w="1197" w:type="dxa"/>
            <w:vAlign w:val="center"/>
          </w:tcPr>
          <w:p w14:paraId="3049022D" w14:textId="77777777" w:rsidR="00D360F9" w:rsidRPr="00D24609" w:rsidRDefault="00D360F9" w:rsidP="00DC4294">
            <w:pPr>
              <w:jc w:val="center"/>
              <w:rPr>
                <w:sz w:val="18"/>
                <w:szCs w:val="18"/>
              </w:rPr>
            </w:pPr>
            <w:r w:rsidRPr="00D24609">
              <w:rPr>
                <w:sz w:val="18"/>
                <w:szCs w:val="18"/>
              </w:rPr>
              <w:t>85</w:t>
            </w:r>
          </w:p>
        </w:tc>
        <w:tc>
          <w:tcPr>
            <w:tcW w:w="1197" w:type="dxa"/>
            <w:vAlign w:val="center"/>
          </w:tcPr>
          <w:p w14:paraId="7BE54811" w14:textId="77777777" w:rsidR="00D360F9" w:rsidRPr="00D24609" w:rsidRDefault="00D360F9" w:rsidP="00DC4294">
            <w:pPr>
              <w:jc w:val="center"/>
              <w:rPr>
                <w:sz w:val="18"/>
                <w:szCs w:val="18"/>
              </w:rPr>
            </w:pPr>
          </w:p>
        </w:tc>
        <w:tc>
          <w:tcPr>
            <w:tcW w:w="1197" w:type="dxa"/>
            <w:vAlign w:val="center"/>
          </w:tcPr>
          <w:p w14:paraId="260ABE92" w14:textId="77777777" w:rsidR="00D360F9" w:rsidRPr="00D24609" w:rsidRDefault="00D360F9" w:rsidP="00DC4294">
            <w:pPr>
              <w:jc w:val="center"/>
              <w:rPr>
                <w:sz w:val="18"/>
                <w:szCs w:val="18"/>
              </w:rPr>
            </w:pPr>
            <w:r w:rsidRPr="00D24609">
              <w:rPr>
                <w:sz w:val="18"/>
                <w:szCs w:val="18"/>
              </w:rPr>
              <w:t>0</w:t>
            </w:r>
          </w:p>
        </w:tc>
        <w:tc>
          <w:tcPr>
            <w:tcW w:w="1197" w:type="dxa"/>
            <w:vAlign w:val="center"/>
          </w:tcPr>
          <w:p w14:paraId="053DAD67" w14:textId="77777777" w:rsidR="00D360F9" w:rsidRPr="00D24609" w:rsidRDefault="00D360F9" w:rsidP="00DC4294">
            <w:pPr>
              <w:jc w:val="center"/>
              <w:rPr>
                <w:sz w:val="18"/>
                <w:szCs w:val="18"/>
              </w:rPr>
            </w:pPr>
            <w:r w:rsidRPr="00D24609">
              <w:rPr>
                <w:sz w:val="18"/>
                <w:szCs w:val="18"/>
              </w:rPr>
              <w:t>0</w:t>
            </w:r>
          </w:p>
        </w:tc>
        <w:tc>
          <w:tcPr>
            <w:tcW w:w="1197" w:type="dxa"/>
            <w:vAlign w:val="center"/>
          </w:tcPr>
          <w:p w14:paraId="2A31EB09" w14:textId="77777777" w:rsidR="00D360F9" w:rsidRPr="00D24609" w:rsidRDefault="00D360F9" w:rsidP="00DC4294">
            <w:pPr>
              <w:jc w:val="center"/>
              <w:rPr>
                <w:sz w:val="18"/>
                <w:szCs w:val="18"/>
              </w:rPr>
            </w:pPr>
          </w:p>
        </w:tc>
        <w:tc>
          <w:tcPr>
            <w:tcW w:w="1197" w:type="dxa"/>
            <w:vAlign w:val="center"/>
          </w:tcPr>
          <w:p w14:paraId="58128EF6" w14:textId="77777777" w:rsidR="00D360F9" w:rsidRPr="00D24609" w:rsidRDefault="00D360F9" w:rsidP="00DC4294">
            <w:pPr>
              <w:jc w:val="center"/>
              <w:rPr>
                <w:sz w:val="18"/>
                <w:szCs w:val="18"/>
              </w:rPr>
            </w:pPr>
            <w:r>
              <w:rPr>
                <w:sz w:val="18"/>
                <w:szCs w:val="18"/>
              </w:rPr>
              <w:t>255</w:t>
            </w:r>
          </w:p>
        </w:tc>
        <w:tc>
          <w:tcPr>
            <w:tcW w:w="1197" w:type="dxa"/>
            <w:vAlign w:val="center"/>
          </w:tcPr>
          <w:p w14:paraId="5B035346" w14:textId="77777777" w:rsidR="00D360F9" w:rsidRPr="00D24609" w:rsidRDefault="00D360F9" w:rsidP="00DC4294">
            <w:pPr>
              <w:jc w:val="center"/>
              <w:rPr>
                <w:sz w:val="18"/>
                <w:szCs w:val="18"/>
              </w:rPr>
            </w:pPr>
            <w:r>
              <w:rPr>
                <w:sz w:val="18"/>
                <w:szCs w:val="18"/>
              </w:rPr>
              <w:t>21,675</w:t>
            </w:r>
          </w:p>
        </w:tc>
      </w:tr>
      <w:tr w:rsidR="00D360F9" w:rsidRPr="00D24609" w14:paraId="74FE6E25" w14:textId="77777777" w:rsidTr="00DC4294">
        <w:trPr>
          <w:trHeight w:hRule="exact" w:val="271"/>
        </w:trPr>
        <w:tc>
          <w:tcPr>
            <w:tcW w:w="1197" w:type="dxa"/>
            <w:tcBorders>
              <w:bottom w:val="single" w:sz="12" w:space="0" w:color="auto"/>
            </w:tcBorders>
            <w:vAlign w:val="center"/>
          </w:tcPr>
          <w:p w14:paraId="433ECDA2" w14:textId="77777777" w:rsidR="00D360F9" w:rsidRPr="00D24609" w:rsidRDefault="00D360F9" w:rsidP="00DC4294">
            <w:pPr>
              <w:jc w:val="center"/>
              <w:rPr>
                <w:b/>
                <w:sz w:val="18"/>
                <w:szCs w:val="18"/>
              </w:rPr>
            </w:pPr>
            <w:r w:rsidRPr="00D24609">
              <w:rPr>
                <w:b/>
                <w:sz w:val="18"/>
                <w:szCs w:val="18"/>
              </w:rPr>
              <w:t>G</w:t>
            </w:r>
          </w:p>
        </w:tc>
        <w:tc>
          <w:tcPr>
            <w:tcW w:w="1197" w:type="dxa"/>
            <w:tcBorders>
              <w:bottom w:val="single" w:sz="12" w:space="0" w:color="auto"/>
            </w:tcBorders>
            <w:vAlign w:val="center"/>
          </w:tcPr>
          <w:p w14:paraId="5B63860F" w14:textId="77777777" w:rsidR="00D360F9" w:rsidRPr="00D24609" w:rsidRDefault="00D360F9" w:rsidP="00DC4294">
            <w:pPr>
              <w:jc w:val="center"/>
              <w:rPr>
                <w:sz w:val="18"/>
                <w:szCs w:val="18"/>
              </w:rPr>
            </w:pPr>
          </w:p>
        </w:tc>
        <w:tc>
          <w:tcPr>
            <w:tcW w:w="1197" w:type="dxa"/>
            <w:tcBorders>
              <w:bottom w:val="single" w:sz="12" w:space="0" w:color="auto"/>
            </w:tcBorders>
            <w:vAlign w:val="center"/>
          </w:tcPr>
          <w:p w14:paraId="141ACEDC" w14:textId="77777777" w:rsidR="00D360F9" w:rsidRPr="00D24609" w:rsidRDefault="00D360F9" w:rsidP="00DC4294">
            <w:pPr>
              <w:jc w:val="center"/>
              <w:rPr>
                <w:sz w:val="18"/>
                <w:szCs w:val="18"/>
              </w:rPr>
            </w:pPr>
            <w:r w:rsidRPr="00D24609">
              <w:rPr>
                <w:sz w:val="18"/>
                <w:szCs w:val="18"/>
              </w:rPr>
              <w:t>0</w:t>
            </w:r>
          </w:p>
        </w:tc>
        <w:tc>
          <w:tcPr>
            <w:tcW w:w="1197" w:type="dxa"/>
            <w:tcBorders>
              <w:bottom w:val="single" w:sz="12" w:space="0" w:color="auto"/>
            </w:tcBorders>
            <w:vAlign w:val="center"/>
          </w:tcPr>
          <w:p w14:paraId="637E867E" w14:textId="77777777" w:rsidR="00D360F9" w:rsidRPr="00D24609" w:rsidRDefault="00D360F9" w:rsidP="00DC4294">
            <w:pPr>
              <w:jc w:val="center"/>
              <w:rPr>
                <w:sz w:val="18"/>
                <w:szCs w:val="18"/>
              </w:rPr>
            </w:pPr>
          </w:p>
        </w:tc>
        <w:tc>
          <w:tcPr>
            <w:tcW w:w="1197" w:type="dxa"/>
            <w:tcBorders>
              <w:bottom w:val="single" w:sz="12" w:space="0" w:color="auto"/>
            </w:tcBorders>
            <w:vAlign w:val="center"/>
          </w:tcPr>
          <w:p w14:paraId="07FA6EF0" w14:textId="77777777" w:rsidR="00D360F9" w:rsidRPr="00D24609" w:rsidRDefault="00D360F9" w:rsidP="00DC4294">
            <w:pPr>
              <w:jc w:val="center"/>
              <w:rPr>
                <w:sz w:val="18"/>
                <w:szCs w:val="18"/>
              </w:rPr>
            </w:pPr>
          </w:p>
        </w:tc>
        <w:tc>
          <w:tcPr>
            <w:tcW w:w="1197" w:type="dxa"/>
            <w:tcBorders>
              <w:bottom w:val="single" w:sz="12" w:space="0" w:color="auto"/>
            </w:tcBorders>
            <w:vAlign w:val="center"/>
          </w:tcPr>
          <w:p w14:paraId="2D7E9487" w14:textId="77777777" w:rsidR="00D360F9" w:rsidRPr="00D24609" w:rsidRDefault="00D360F9" w:rsidP="00DC4294">
            <w:pPr>
              <w:jc w:val="center"/>
              <w:rPr>
                <w:sz w:val="18"/>
                <w:szCs w:val="18"/>
              </w:rPr>
            </w:pPr>
            <w:r>
              <w:rPr>
                <w:sz w:val="18"/>
                <w:szCs w:val="18"/>
              </w:rPr>
              <w:t>120</w:t>
            </w:r>
          </w:p>
        </w:tc>
        <w:tc>
          <w:tcPr>
            <w:tcW w:w="1197" w:type="dxa"/>
            <w:tcBorders>
              <w:bottom w:val="single" w:sz="12" w:space="0" w:color="auto"/>
            </w:tcBorders>
            <w:vAlign w:val="center"/>
          </w:tcPr>
          <w:p w14:paraId="6C14C061" w14:textId="77777777" w:rsidR="00D360F9" w:rsidRPr="00D24609" w:rsidRDefault="00D360F9" w:rsidP="00DC4294">
            <w:pPr>
              <w:jc w:val="center"/>
              <w:rPr>
                <w:sz w:val="18"/>
                <w:szCs w:val="18"/>
              </w:rPr>
            </w:pPr>
          </w:p>
        </w:tc>
        <w:tc>
          <w:tcPr>
            <w:tcW w:w="1197" w:type="dxa"/>
            <w:tcBorders>
              <w:bottom w:val="single" w:sz="12" w:space="0" w:color="auto"/>
            </w:tcBorders>
            <w:vAlign w:val="center"/>
          </w:tcPr>
          <w:p w14:paraId="7325320F" w14:textId="77777777" w:rsidR="00D360F9" w:rsidRPr="00D24609" w:rsidRDefault="00D360F9" w:rsidP="00DC4294">
            <w:pPr>
              <w:jc w:val="center"/>
              <w:rPr>
                <w:sz w:val="18"/>
                <w:szCs w:val="18"/>
              </w:rPr>
            </w:pPr>
          </w:p>
        </w:tc>
      </w:tr>
      <w:tr w:rsidR="00D360F9" w:rsidRPr="00D24609" w14:paraId="3AE6FE63" w14:textId="77777777" w:rsidTr="00DC4294">
        <w:trPr>
          <w:trHeight w:hRule="exact" w:val="345"/>
        </w:trPr>
        <w:tc>
          <w:tcPr>
            <w:tcW w:w="4788" w:type="dxa"/>
            <w:gridSpan w:val="4"/>
            <w:tcBorders>
              <w:top w:val="single" w:sz="12" w:space="0" w:color="auto"/>
              <w:bottom w:val="double" w:sz="4" w:space="0" w:color="auto"/>
            </w:tcBorders>
            <w:vAlign w:val="center"/>
          </w:tcPr>
          <w:p w14:paraId="5FD475A7" w14:textId="77777777" w:rsidR="00D360F9" w:rsidRPr="00D24609" w:rsidRDefault="00D360F9" w:rsidP="00DC4294">
            <w:pPr>
              <w:jc w:val="center"/>
            </w:pPr>
            <w:r w:rsidRPr="00D24609">
              <w:t>Total Fill</w:t>
            </w:r>
          </w:p>
        </w:tc>
        <w:tc>
          <w:tcPr>
            <w:tcW w:w="1197" w:type="dxa"/>
            <w:tcBorders>
              <w:top w:val="single" w:sz="12" w:space="0" w:color="auto"/>
              <w:bottom w:val="double" w:sz="4" w:space="0" w:color="auto"/>
            </w:tcBorders>
            <w:vAlign w:val="center"/>
          </w:tcPr>
          <w:p w14:paraId="74B27D61" w14:textId="77777777" w:rsidR="00D360F9" w:rsidRPr="00D24609" w:rsidRDefault="00D360F9" w:rsidP="00DC4294">
            <w:pPr>
              <w:jc w:val="center"/>
              <w:rPr>
                <w:b/>
              </w:rPr>
            </w:pPr>
            <w:r w:rsidRPr="00D24609">
              <w:rPr>
                <w:b/>
              </w:rPr>
              <w:t>36,250</w:t>
            </w:r>
          </w:p>
        </w:tc>
        <w:tc>
          <w:tcPr>
            <w:tcW w:w="2394" w:type="dxa"/>
            <w:gridSpan w:val="2"/>
            <w:tcBorders>
              <w:top w:val="single" w:sz="12" w:space="0" w:color="auto"/>
              <w:bottom w:val="double" w:sz="4" w:space="0" w:color="auto"/>
            </w:tcBorders>
            <w:vAlign w:val="center"/>
          </w:tcPr>
          <w:p w14:paraId="7E80D9C9" w14:textId="77777777" w:rsidR="00D360F9" w:rsidRPr="00D24609" w:rsidRDefault="00D360F9" w:rsidP="00DC4294">
            <w:pPr>
              <w:jc w:val="center"/>
            </w:pPr>
            <w:r w:rsidRPr="00D24609">
              <w:t>Total Cut</w:t>
            </w:r>
          </w:p>
        </w:tc>
        <w:tc>
          <w:tcPr>
            <w:tcW w:w="1197" w:type="dxa"/>
            <w:tcBorders>
              <w:top w:val="single" w:sz="12" w:space="0" w:color="auto"/>
              <w:bottom w:val="double" w:sz="4" w:space="0" w:color="auto"/>
            </w:tcBorders>
            <w:vAlign w:val="center"/>
          </w:tcPr>
          <w:p w14:paraId="302FF56C" w14:textId="77777777" w:rsidR="00D360F9" w:rsidRPr="00D24609" w:rsidRDefault="00D360F9" w:rsidP="00DC4294">
            <w:pPr>
              <w:jc w:val="center"/>
              <w:rPr>
                <w:b/>
              </w:rPr>
            </w:pPr>
            <w:r>
              <w:rPr>
                <w:b/>
              </w:rPr>
              <w:t>112,575</w:t>
            </w:r>
          </w:p>
        </w:tc>
      </w:tr>
    </w:tbl>
    <w:p w14:paraId="4AB9E0C0" w14:textId="77777777" w:rsidR="00D360F9" w:rsidRPr="00D24609" w:rsidRDefault="00D360F9" w:rsidP="00D360F9">
      <w:pPr>
        <w:ind w:left="720"/>
        <w:jc w:val="both"/>
        <w:rPr>
          <w:sz w:val="24"/>
          <w:szCs w:val="24"/>
        </w:rPr>
      </w:pPr>
    </w:p>
    <w:p w14:paraId="57EFF5D9" w14:textId="77777777" w:rsidR="00D360F9" w:rsidRPr="00D24609" w:rsidRDefault="00D360F9" w:rsidP="00D360F9">
      <w:pPr>
        <w:jc w:val="both"/>
        <w:rPr>
          <w:sz w:val="24"/>
          <w:szCs w:val="24"/>
        </w:rPr>
      </w:pPr>
      <w:r w:rsidRPr="00D24609">
        <w:rPr>
          <w:sz w:val="24"/>
          <w:szCs w:val="24"/>
        </w:rPr>
        <w:t>Since the total amount of cut provided (</w:t>
      </w:r>
      <w:r>
        <w:rPr>
          <w:sz w:val="24"/>
          <w:szCs w:val="24"/>
        </w:rPr>
        <w:t>115,575</w:t>
      </w:r>
      <w:r w:rsidRPr="00D24609">
        <w:rPr>
          <w:sz w:val="24"/>
          <w:szCs w:val="24"/>
        </w:rPr>
        <w:t xml:space="preserve"> </w:t>
      </w:r>
      <w:r w:rsidRPr="00D24609">
        <w:rPr>
          <w:i/>
          <w:sz w:val="24"/>
          <w:szCs w:val="24"/>
        </w:rPr>
        <w:t>ft</w:t>
      </w:r>
      <w:r w:rsidRPr="00D24609">
        <w:rPr>
          <w:i/>
          <w:sz w:val="24"/>
          <w:szCs w:val="24"/>
          <w:vertAlign w:val="superscript"/>
        </w:rPr>
        <w:t>3</w:t>
      </w:r>
      <w:r w:rsidRPr="00D24609">
        <w:rPr>
          <w:sz w:val="24"/>
          <w:szCs w:val="24"/>
        </w:rPr>
        <w:t xml:space="preserve"> as shown in the table) is larger than that required (</w:t>
      </w:r>
      <w:r>
        <w:rPr>
          <w:sz w:val="24"/>
          <w:szCs w:val="24"/>
        </w:rPr>
        <w:t xml:space="preserve">3 X </w:t>
      </w:r>
      <w:r w:rsidRPr="00D24609">
        <w:rPr>
          <w:sz w:val="24"/>
          <w:szCs w:val="24"/>
        </w:rPr>
        <w:t>36,250</w:t>
      </w:r>
      <w:r>
        <w:rPr>
          <w:sz w:val="24"/>
          <w:szCs w:val="24"/>
        </w:rPr>
        <w:t xml:space="preserve"> = 108,750</w:t>
      </w:r>
      <w:r w:rsidRPr="00D24609">
        <w:rPr>
          <w:sz w:val="24"/>
          <w:szCs w:val="24"/>
        </w:rPr>
        <w:t xml:space="preserve"> </w:t>
      </w:r>
      <w:r w:rsidRPr="00D24609">
        <w:rPr>
          <w:i/>
          <w:sz w:val="24"/>
          <w:szCs w:val="24"/>
        </w:rPr>
        <w:t>ft</w:t>
      </w:r>
      <w:r w:rsidRPr="00D24609">
        <w:rPr>
          <w:i/>
          <w:sz w:val="24"/>
          <w:szCs w:val="24"/>
          <w:vertAlign w:val="superscript"/>
        </w:rPr>
        <w:t>3</w:t>
      </w:r>
      <w:r w:rsidRPr="00D24609">
        <w:rPr>
          <w:sz w:val="24"/>
          <w:szCs w:val="24"/>
        </w:rPr>
        <w:t xml:space="preserve">), the design meets the compensatory storage requirement for the 10-year flood.  An additional table and calculation should be completed for the 100-year flood elevation in a similar manner to determine whether the design meets the compensatory storage requirement for the 100-year flood.  </w:t>
      </w:r>
    </w:p>
    <w:p w14:paraId="4FD118BD" w14:textId="77777777" w:rsidR="00411FE7" w:rsidRDefault="00411FE7" w:rsidP="00D360F9">
      <w:pPr>
        <w:jc w:val="both"/>
        <w:rPr>
          <w:b/>
          <w:i/>
          <w:sz w:val="24"/>
          <w:szCs w:val="24"/>
        </w:rPr>
      </w:pPr>
    </w:p>
    <w:p w14:paraId="2BB76657" w14:textId="1C93091B" w:rsidR="00D360F9" w:rsidRPr="00D24609" w:rsidRDefault="00D360F9" w:rsidP="00D360F9">
      <w:pPr>
        <w:jc w:val="both"/>
        <w:rPr>
          <w:b/>
          <w:i/>
          <w:sz w:val="24"/>
          <w:szCs w:val="24"/>
        </w:rPr>
      </w:pPr>
      <w:r w:rsidRPr="00D24609">
        <w:rPr>
          <w:b/>
          <w:i/>
          <w:sz w:val="24"/>
          <w:szCs w:val="24"/>
        </w:rPr>
        <w:t xml:space="preserve">Location of Compensatory Storage </w:t>
      </w:r>
    </w:p>
    <w:p w14:paraId="35DDEFA6" w14:textId="77777777" w:rsidR="00D360F9" w:rsidRPr="00D24609" w:rsidRDefault="00D360F9" w:rsidP="00D360F9">
      <w:pPr>
        <w:jc w:val="both"/>
        <w:rPr>
          <w:sz w:val="24"/>
          <w:szCs w:val="24"/>
        </w:rPr>
      </w:pPr>
      <w:r w:rsidRPr="00D24609">
        <w:rPr>
          <w:sz w:val="24"/>
          <w:szCs w:val="24"/>
        </w:rPr>
        <w:t>Compensatory storage must be located on</w:t>
      </w:r>
      <w:r w:rsidRPr="00D24609">
        <w:rPr>
          <w:rFonts w:ascii="Cambria Math" w:hAnsi="Cambria Math" w:cs="Cambria Math"/>
          <w:sz w:val="24"/>
          <w:szCs w:val="24"/>
        </w:rPr>
        <w:t>‐</w:t>
      </w:r>
      <w:r w:rsidRPr="00D24609">
        <w:rPr>
          <w:sz w:val="24"/>
          <w:szCs w:val="24"/>
        </w:rPr>
        <w:t xml:space="preserve">site and adjacent to or opposite the areas filled or occupied by a structure. In those rare instances when compensatory storage cannot be located adjacent to or opposite to the areas filled or occupied, engineering computations demonstrating that hydraulically equivalent compensatory storage </w:t>
      </w:r>
      <w:r>
        <w:rPr>
          <w:sz w:val="24"/>
          <w:szCs w:val="24"/>
        </w:rPr>
        <w:t xml:space="preserve">at a minimum of 3 to 1 ratio </w:t>
      </w:r>
      <w:r w:rsidRPr="00D24609">
        <w:rPr>
          <w:sz w:val="24"/>
          <w:szCs w:val="24"/>
        </w:rPr>
        <w:t xml:space="preserve">has been provided is required. These computations must show that no increase in flood flows or flood depths will result as a result of the location of the proposed compensatory storage. </w:t>
      </w:r>
    </w:p>
    <w:p w14:paraId="1E3F7731" w14:textId="77777777" w:rsidR="00D360F9" w:rsidRPr="00D24609" w:rsidRDefault="00D360F9" w:rsidP="00D360F9">
      <w:pPr>
        <w:jc w:val="both"/>
        <w:rPr>
          <w:sz w:val="24"/>
          <w:szCs w:val="24"/>
        </w:rPr>
      </w:pPr>
    </w:p>
    <w:p w14:paraId="03CC5C02" w14:textId="77777777" w:rsidR="00D360F9" w:rsidRPr="00D24609" w:rsidRDefault="00D360F9" w:rsidP="00D360F9">
      <w:pPr>
        <w:jc w:val="both"/>
        <w:rPr>
          <w:sz w:val="24"/>
          <w:szCs w:val="24"/>
        </w:rPr>
      </w:pPr>
      <w:r w:rsidRPr="00D24609">
        <w:rPr>
          <w:sz w:val="24"/>
          <w:szCs w:val="24"/>
        </w:rPr>
        <w:t xml:space="preserve">Compensatory storage must be constructed to drain freely and openly to watercourses.   In some rare cases it may be necessary to install pipes to construct and/or operate a compensatory storage basin. This may occur when site constraints, such as a roadway or sidewalk, separate the waterway from the compensatory storage area. This is illustrated in the top half of </w:t>
      </w:r>
      <w:r w:rsidRPr="00D24609">
        <w:rPr>
          <w:b/>
          <w:sz w:val="24"/>
          <w:szCs w:val="24"/>
        </w:rPr>
        <w:t>Figure 10-3</w:t>
      </w:r>
      <w:r w:rsidRPr="00D24609">
        <w:rPr>
          <w:sz w:val="24"/>
          <w:szCs w:val="24"/>
        </w:rPr>
        <w:t>.</w:t>
      </w:r>
    </w:p>
    <w:p w14:paraId="51F27DF6" w14:textId="77777777" w:rsidR="00D360F9" w:rsidRPr="00D24609" w:rsidRDefault="00D360F9" w:rsidP="00D360F9">
      <w:pPr>
        <w:jc w:val="both"/>
        <w:rPr>
          <w:sz w:val="24"/>
          <w:szCs w:val="24"/>
        </w:rPr>
      </w:pPr>
      <w:r w:rsidRPr="00D24609">
        <w:rPr>
          <w:sz w:val="24"/>
          <w:szCs w:val="24"/>
        </w:rPr>
        <w:t xml:space="preserve"> </w:t>
      </w:r>
    </w:p>
    <w:p w14:paraId="5ED719E9" w14:textId="77777777" w:rsidR="00D360F9" w:rsidRPr="00D24609" w:rsidRDefault="00D360F9" w:rsidP="00D360F9">
      <w:pPr>
        <w:jc w:val="both"/>
        <w:rPr>
          <w:sz w:val="24"/>
          <w:szCs w:val="24"/>
        </w:rPr>
      </w:pPr>
      <w:r w:rsidRPr="00D24609">
        <w:rPr>
          <w:sz w:val="24"/>
          <w:szCs w:val="24"/>
        </w:rPr>
        <w:t>Another scenario may occur when a site cannot meet the incremental storage requirements discussed in this document.  If incremental storage requirements from the 10</w:t>
      </w:r>
      <w:r w:rsidRPr="00D24609">
        <w:rPr>
          <w:rFonts w:ascii="Cambria Math" w:hAnsi="Cambria Math" w:cs="Cambria Math"/>
          <w:sz w:val="24"/>
          <w:szCs w:val="24"/>
        </w:rPr>
        <w:t>‐</w:t>
      </w:r>
      <w:r w:rsidRPr="00D24609">
        <w:rPr>
          <w:sz w:val="24"/>
          <w:szCs w:val="24"/>
        </w:rPr>
        <w:t>year to 100</w:t>
      </w:r>
      <w:r w:rsidRPr="00D24609">
        <w:rPr>
          <w:rFonts w:ascii="Cambria Math" w:hAnsi="Cambria Math" w:cs="Cambria Math"/>
          <w:sz w:val="24"/>
          <w:szCs w:val="24"/>
        </w:rPr>
        <w:t>‐</w:t>
      </w:r>
      <w:r w:rsidRPr="00D24609">
        <w:rPr>
          <w:sz w:val="24"/>
          <w:szCs w:val="24"/>
        </w:rPr>
        <w:t>year elevations cannot be met, pipes could be installed with a flap gate to prevent the water from entering from the stream bed at lower elevations. The berm could then be set at the elevation of the 10</w:t>
      </w:r>
      <w:r w:rsidRPr="00D24609">
        <w:rPr>
          <w:rFonts w:ascii="Cambria Math" w:hAnsi="Cambria Math" w:cs="Cambria Math"/>
          <w:sz w:val="24"/>
          <w:szCs w:val="24"/>
        </w:rPr>
        <w:t>‐</w:t>
      </w:r>
      <w:r w:rsidRPr="00D24609">
        <w:rPr>
          <w:sz w:val="24"/>
          <w:szCs w:val="24"/>
        </w:rPr>
        <w:t>year flood elevation, thus allowing the storage to only become effective above the 10</w:t>
      </w:r>
      <w:r w:rsidRPr="00D24609">
        <w:rPr>
          <w:rFonts w:ascii="Cambria Math" w:hAnsi="Cambria Math" w:cs="Cambria Math"/>
          <w:sz w:val="24"/>
          <w:szCs w:val="24"/>
        </w:rPr>
        <w:t>‐</w:t>
      </w:r>
      <w:r w:rsidRPr="00D24609">
        <w:rPr>
          <w:sz w:val="24"/>
          <w:szCs w:val="24"/>
        </w:rPr>
        <w:t>year flood elevation. This is illustrated in the bottom half of the illustration in Figure 10-3.</w:t>
      </w:r>
    </w:p>
    <w:p w14:paraId="7D09EDC9" w14:textId="77777777" w:rsidR="00D360F9" w:rsidRPr="00D24609" w:rsidRDefault="00D360F9" w:rsidP="00D360F9">
      <w:pPr>
        <w:jc w:val="both"/>
        <w:rPr>
          <w:sz w:val="24"/>
          <w:szCs w:val="24"/>
        </w:rPr>
      </w:pPr>
    </w:p>
    <w:p w14:paraId="00F438AD" w14:textId="77777777" w:rsidR="00D360F9" w:rsidRPr="00D24609" w:rsidRDefault="00D360F9" w:rsidP="00D360F9">
      <w:pPr>
        <w:jc w:val="both"/>
        <w:rPr>
          <w:sz w:val="24"/>
          <w:szCs w:val="24"/>
        </w:rPr>
      </w:pPr>
      <w:r w:rsidRPr="00D24609">
        <w:rPr>
          <w:sz w:val="24"/>
          <w:szCs w:val="24"/>
        </w:rPr>
        <w:t>The use of pipes in compensatory storage will require approval by the County. If approved, two pipes will be required to reduce the risk of clogging. Pipes must be a minimum of 15 inches in diameter so as to allow water to enter and exit freely with a minimum head differential. If the compensatory storage is proposed to be combined with detention, it must be demonstrated the compensatory storage and detention do not interfere with one another.</w:t>
      </w:r>
    </w:p>
    <w:p w14:paraId="342EF3AE" w14:textId="77777777" w:rsidR="00D360F9" w:rsidRPr="00D24609" w:rsidRDefault="00D360F9" w:rsidP="00D360F9">
      <w:pPr>
        <w:jc w:val="both"/>
        <w:rPr>
          <w:b/>
          <w:sz w:val="24"/>
          <w:szCs w:val="24"/>
        </w:rPr>
      </w:pPr>
      <w:r w:rsidRPr="00D24609">
        <w:rPr>
          <w:b/>
          <w:sz w:val="24"/>
          <w:szCs w:val="24"/>
        </w:rPr>
        <w:br w:type="page"/>
      </w:r>
      <w:r w:rsidRPr="00D24609">
        <w:rPr>
          <w:b/>
          <w:sz w:val="24"/>
          <w:szCs w:val="24"/>
        </w:rPr>
        <w:lastRenderedPageBreak/>
        <w:t>Figure 10-3 – Example of Compensatory Storage Connection to Stream through Pipe</w:t>
      </w:r>
    </w:p>
    <w:p w14:paraId="084721D9" w14:textId="77777777" w:rsidR="00D360F9" w:rsidRPr="00D24609" w:rsidRDefault="00D360F9" w:rsidP="00D360F9">
      <w:pPr>
        <w:ind w:left="720" w:hanging="540"/>
        <w:jc w:val="both"/>
        <w:rPr>
          <w:sz w:val="24"/>
          <w:szCs w:val="24"/>
        </w:rPr>
      </w:pPr>
      <w:r w:rsidRPr="003A7991">
        <w:rPr>
          <w:noProof/>
          <w:sz w:val="24"/>
          <w:szCs w:val="24"/>
        </w:rPr>
        <w:drawing>
          <wp:inline distT="0" distB="0" distL="0" distR="0" wp14:anchorId="2D9DC8E3" wp14:editId="193082DC">
            <wp:extent cx="5643245" cy="4533900"/>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9">
                      <a:lum bright="-26000" contrast="42000"/>
                      <a:extLst>
                        <a:ext uri="{28A0092B-C50C-407E-A947-70E740481C1C}">
                          <a14:useLocalDpi xmlns:a14="http://schemas.microsoft.com/office/drawing/2010/main" val="0"/>
                        </a:ext>
                      </a:extLst>
                    </a:blip>
                    <a:srcRect/>
                    <a:stretch>
                      <a:fillRect/>
                    </a:stretch>
                  </pic:blipFill>
                  <pic:spPr bwMode="auto">
                    <a:xfrm>
                      <a:off x="0" y="0"/>
                      <a:ext cx="5643245" cy="4533900"/>
                    </a:xfrm>
                    <a:prstGeom prst="rect">
                      <a:avLst/>
                    </a:prstGeom>
                    <a:noFill/>
                  </pic:spPr>
                </pic:pic>
              </a:graphicData>
            </a:graphic>
          </wp:inline>
        </w:drawing>
      </w:r>
    </w:p>
    <w:p w14:paraId="2BEA3353" w14:textId="77777777" w:rsidR="00D360F9" w:rsidRDefault="00D360F9" w:rsidP="00D360F9">
      <w:pPr>
        <w:jc w:val="both"/>
        <w:rPr>
          <w:b/>
          <w:i/>
          <w:sz w:val="24"/>
          <w:szCs w:val="24"/>
        </w:rPr>
      </w:pPr>
    </w:p>
    <w:p w14:paraId="52BFBCCC" w14:textId="77777777" w:rsidR="00D360F9" w:rsidRPr="00D24609" w:rsidRDefault="00D360F9" w:rsidP="00D360F9">
      <w:pPr>
        <w:jc w:val="both"/>
        <w:rPr>
          <w:b/>
          <w:i/>
          <w:sz w:val="24"/>
          <w:szCs w:val="24"/>
        </w:rPr>
      </w:pPr>
      <w:r w:rsidRPr="00D24609">
        <w:rPr>
          <w:b/>
          <w:i/>
          <w:sz w:val="24"/>
          <w:szCs w:val="24"/>
        </w:rPr>
        <w:t xml:space="preserve">Compensatory Storage in the Regulatory Floodway </w:t>
      </w:r>
    </w:p>
    <w:p w14:paraId="20BAC4CD" w14:textId="77777777" w:rsidR="00D360F9" w:rsidRPr="00D24609" w:rsidRDefault="00D360F9" w:rsidP="00D360F9">
      <w:pPr>
        <w:jc w:val="both"/>
        <w:rPr>
          <w:sz w:val="24"/>
          <w:szCs w:val="24"/>
        </w:rPr>
      </w:pPr>
      <w:r w:rsidRPr="00D24609">
        <w:rPr>
          <w:sz w:val="24"/>
          <w:szCs w:val="24"/>
        </w:rPr>
        <w:t xml:space="preserve">Only fill associated with appropriate uses of the regulatory floodway </w:t>
      </w:r>
      <w:r>
        <w:rPr>
          <w:sz w:val="24"/>
          <w:szCs w:val="24"/>
        </w:rPr>
        <w:t>may</w:t>
      </w:r>
      <w:r w:rsidRPr="00D24609">
        <w:rPr>
          <w:sz w:val="24"/>
          <w:szCs w:val="24"/>
        </w:rPr>
        <w:t xml:space="preserve"> be allowed to </w:t>
      </w:r>
      <w:r>
        <w:rPr>
          <w:sz w:val="24"/>
          <w:szCs w:val="24"/>
        </w:rPr>
        <w:t>be placed</w:t>
      </w:r>
      <w:r w:rsidRPr="00D24609">
        <w:rPr>
          <w:sz w:val="24"/>
          <w:szCs w:val="24"/>
        </w:rPr>
        <w:t xml:space="preserve"> within the limits of the floodway. </w:t>
      </w:r>
      <w:r>
        <w:rPr>
          <w:sz w:val="24"/>
          <w:szCs w:val="24"/>
        </w:rPr>
        <w:t xml:space="preserve"> When, in rare circumstances, fill is allowed, a</w:t>
      </w:r>
      <w:r w:rsidRPr="00D24609">
        <w:rPr>
          <w:sz w:val="24"/>
          <w:szCs w:val="24"/>
        </w:rPr>
        <w:t xml:space="preserve">ll provisions discussed above relating to compensatory storage must be met in addition to the items discussed below. </w:t>
      </w:r>
    </w:p>
    <w:p w14:paraId="381CB0CF" w14:textId="77777777" w:rsidR="00D360F9" w:rsidRPr="00D24609" w:rsidRDefault="00D360F9" w:rsidP="00D360F9">
      <w:pPr>
        <w:jc w:val="both"/>
        <w:rPr>
          <w:sz w:val="24"/>
          <w:szCs w:val="24"/>
        </w:rPr>
      </w:pPr>
    </w:p>
    <w:p w14:paraId="3FB7C1DA" w14:textId="77777777" w:rsidR="00D360F9" w:rsidRPr="00D24609" w:rsidRDefault="00D360F9" w:rsidP="00D360F9">
      <w:pPr>
        <w:numPr>
          <w:ilvl w:val="1"/>
          <w:numId w:val="1"/>
        </w:numPr>
        <w:spacing w:after="200"/>
        <w:contextualSpacing/>
        <w:jc w:val="both"/>
        <w:rPr>
          <w:sz w:val="24"/>
          <w:szCs w:val="24"/>
        </w:rPr>
      </w:pPr>
      <w:r w:rsidRPr="00D24609">
        <w:rPr>
          <w:sz w:val="24"/>
          <w:szCs w:val="24"/>
        </w:rPr>
        <w:t xml:space="preserve">Any fill placed within the existing floodway must be compensated for within the proposed floodway. </w:t>
      </w:r>
    </w:p>
    <w:p w14:paraId="07949B12" w14:textId="77777777" w:rsidR="00D360F9" w:rsidRPr="00D24609" w:rsidRDefault="00D360F9" w:rsidP="00D360F9">
      <w:pPr>
        <w:numPr>
          <w:ilvl w:val="1"/>
          <w:numId w:val="1"/>
        </w:numPr>
        <w:spacing w:after="200"/>
        <w:contextualSpacing/>
        <w:jc w:val="both"/>
        <w:rPr>
          <w:sz w:val="24"/>
          <w:szCs w:val="24"/>
        </w:rPr>
      </w:pPr>
      <w:r w:rsidRPr="00D24609">
        <w:rPr>
          <w:sz w:val="24"/>
          <w:szCs w:val="24"/>
        </w:rPr>
        <w:t>All floodway storage lost below the existing 10</w:t>
      </w:r>
      <w:r w:rsidRPr="00D24609">
        <w:rPr>
          <w:rFonts w:ascii="Cambria Math" w:hAnsi="Cambria Math" w:cs="Cambria Math"/>
          <w:sz w:val="24"/>
          <w:szCs w:val="24"/>
        </w:rPr>
        <w:t>‐</w:t>
      </w:r>
      <w:r w:rsidRPr="00D24609">
        <w:rPr>
          <w:sz w:val="24"/>
          <w:szCs w:val="24"/>
        </w:rPr>
        <w:t>year base flood elevation shall be replaced below the proposed 10</w:t>
      </w:r>
      <w:r w:rsidRPr="00D24609">
        <w:rPr>
          <w:rFonts w:ascii="Cambria Math" w:hAnsi="Cambria Math" w:cs="Cambria Math"/>
          <w:sz w:val="24"/>
          <w:szCs w:val="24"/>
        </w:rPr>
        <w:t>‐</w:t>
      </w:r>
      <w:r w:rsidRPr="00D24609">
        <w:rPr>
          <w:sz w:val="24"/>
          <w:szCs w:val="24"/>
        </w:rPr>
        <w:t xml:space="preserve">year base flood elevation. </w:t>
      </w:r>
    </w:p>
    <w:p w14:paraId="6B0DB0F7" w14:textId="77777777" w:rsidR="00D360F9" w:rsidRPr="00D24609" w:rsidRDefault="00D360F9" w:rsidP="00D360F9">
      <w:pPr>
        <w:numPr>
          <w:ilvl w:val="1"/>
          <w:numId w:val="1"/>
        </w:numPr>
        <w:spacing w:after="200"/>
        <w:contextualSpacing/>
        <w:jc w:val="both"/>
        <w:rPr>
          <w:sz w:val="24"/>
          <w:szCs w:val="24"/>
        </w:rPr>
      </w:pPr>
      <w:r w:rsidRPr="00D24609">
        <w:rPr>
          <w:sz w:val="24"/>
          <w:szCs w:val="24"/>
        </w:rPr>
        <w:t>All floodway storage lost between the existing 10</w:t>
      </w:r>
      <w:r w:rsidRPr="00D24609">
        <w:rPr>
          <w:rFonts w:ascii="Cambria Math" w:hAnsi="Cambria Math" w:cs="Cambria Math"/>
          <w:sz w:val="24"/>
          <w:szCs w:val="24"/>
        </w:rPr>
        <w:t>‐</w:t>
      </w:r>
      <w:r w:rsidRPr="00D24609">
        <w:rPr>
          <w:sz w:val="24"/>
          <w:szCs w:val="24"/>
        </w:rPr>
        <w:t>year flood elevation and the existing 100-year flood elevation shall be replaced between the proposed 10</w:t>
      </w:r>
      <w:r w:rsidRPr="00D24609">
        <w:rPr>
          <w:rFonts w:ascii="Cambria Math" w:hAnsi="Cambria Math" w:cs="Cambria Math"/>
          <w:sz w:val="24"/>
          <w:szCs w:val="24"/>
        </w:rPr>
        <w:t>‐</w:t>
      </w:r>
      <w:r w:rsidRPr="00D24609">
        <w:rPr>
          <w:sz w:val="24"/>
          <w:szCs w:val="24"/>
        </w:rPr>
        <w:t xml:space="preserve">year and proposed 100-year flood elevation. </w:t>
      </w:r>
    </w:p>
    <w:p w14:paraId="074AF31D" w14:textId="77777777" w:rsidR="00D360F9" w:rsidRPr="00D24609" w:rsidRDefault="00D360F9" w:rsidP="00D360F9">
      <w:pPr>
        <w:jc w:val="both"/>
        <w:rPr>
          <w:sz w:val="24"/>
          <w:szCs w:val="24"/>
        </w:rPr>
      </w:pPr>
    </w:p>
    <w:p w14:paraId="615D4AEB" w14:textId="77777777" w:rsidR="00FD7BAC" w:rsidRDefault="00FD7BAC"/>
    <w:sectPr w:rsidR="00FD7BAC" w:rsidSect="002779D6">
      <w:footerReference w:type="default" r:id="rId10"/>
      <w:pgSz w:w="12240" w:h="15840"/>
      <w:pgMar w:top="720" w:right="1152" w:bottom="173"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DBE7B" w14:textId="77777777" w:rsidR="002779D6" w:rsidRDefault="002779D6" w:rsidP="002779D6">
      <w:r>
        <w:separator/>
      </w:r>
    </w:p>
  </w:endnote>
  <w:endnote w:type="continuationSeparator" w:id="0">
    <w:p w14:paraId="2364B5E8" w14:textId="77777777" w:rsidR="002779D6" w:rsidRDefault="002779D6" w:rsidP="0027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28" w:type="dxa"/>
      <w:tblLayout w:type="fixed"/>
      <w:tblLook w:val="0000" w:firstRow="0" w:lastRow="0" w:firstColumn="0" w:lastColumn="0" w:noHBand="0" w:noVBand="0"/>
    </w:tblPr>
    <w:tblGrid>
      <w:gridCol w:w="5580"/>
    </w:tblGrid>
    <w:tr w:rsidR="002779D6" w14:paraId="5A569401" w14:textId="77777777" w:rsidTr="000202D9">
      <w:tc>
        <w:tcPr>
          <w:tcW w:w="5580" w:type="dxa"/>
          <w:shd w:val="pct15" w:color="auto" w:fill="FFFFFF"/>
        </w:tcPr>
        <w:p w14:paraId="4572A5FC" w14:textId="57844D52" w:rsidR="002779D6" w:rsidRPr="005F473C" w:rsidRDefault="002779D6" w:rsidP="002779D6">
          <w:pPr>
            <w:pStyle w:val="Footer"/>
            <w:jc w:val="center"/>
            <w:rPr>
              <w:rFonts w:ascii="Arial" w:hAnsi="Arial"/>
              <w:b/>
            </w:rPr>
          </w:pPr>
          <w:r>
            <w:rPr>
              <w:rStyle w:val="PageNumber"/>
              <w:rFonts w:ascii="Arial" w:hAnsi="Arial"/>
              <w:b/>
            </w:rPr>
            <w:t xml:space="preserve">Stormwater Technical Standards - </w:t>
          </w:r>
          <w:r w:rsidRPr="005F473C">
            <w:rPr>
              <w:rFonts w:ascii="Arial" w:hAnsi="Arial"/>
              <w:b/>
            </w:rPr>
            <w:t xml:space="preserve">Chapter </w:t>
          </w:r>
          <w:r>
            <w:rPr>
              <w:rFonts w:ascii="Arial" w:hAnsi="Arial"/>
              <w:b/>
            </w:rPr>
            <w:t>10</w:t>
          </w:r>
          <w:r w:rsidRPr="005F473C">
            <w:rPr>
              <w:rFonts w:ascii="Arial" w:hAnsi="Arial"/>
              <w:b/>
            </w:rPr>
            <w:t xml:space="preserve"> – Page </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Pr>
              <w:rStyle w:val="PageNumber"/>
              <w:rFonts w:ascii="Arial" w:hAnsi="Arial"/>
              <w:b/>
              <w:noProof/>
            </w:rPr>
            <w:t>12</w:t>
          </w:r>
          <w:r>
            <w:rPr>
              <w:rStyle w:val="PageNumber"/>
              <w:rFonts w:ascii="Arial" w:hAnsi="Arial"/>
              <w:b/>
            </w:rPr>
            <w:fldChar w:fldCharType="end"/>
          </w:r>
          <w:r w:rsidR="001532B2">
            <w:rPr>
              <w:rStyle w:val="PageNumber"/>
              <w:rFonts w:ascii="Arial" w:hAnsi="Arial"/>
              <w:b/>
            </w:rPr>
            <w:t xml:space="preserve"> </w:t>
          </w:r>
        </w:p>
      </w:tc>
    </w:tr>
  </w:tbl>
  <w:p w14:paraId="52294987" w14:textId="77777777" w:rsidR="002779D6" w:rsidRDefault="002779D6" w:rsidP="00277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B5FA5" w14:textId="77777777" w:rsidR="002779D6" w:rsidRDefault="002779D6" w:rsidP="002779D6">
      <w:r>
        <w:separator/>
      </w:r>
    </w:p>
  </w:footnote>
  <w:footnote w:type="continuationSeparator" w:id="0">
    <w:p w14:paraId="46AE23D4" w14:textId="77777777" w:rsidR="002779D6" w:rsidRDefault="002779D6" w:rsidP="00277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1124"/>
    <w:multiLevelType w:val="hybridMultilevel"/>
    <w:tmpl w:val="9A1E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F7FB9"/>
    <w:multiLevelType w:val="hybridMultilevel"/>
    <w:tmpl w:val="5EC28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F9"/>
    <w:rsid w:val="000F3C88"/>
    <w:rsid w:val="001532B2"/>
    <w:rsid w:val="002779D6"/>
    <w:rsid w:val="003D2F4A"/>
    <w:rsid w:val="00411FE7"/>
    <w:rsid w:val="004C3FA1"/>
    <w:rsid w:val="00712178"/>
    <w:rsid w:val="00A12FE4"/>
    <w:rsid w:val="00D360F9"/>
    <w:rsid w:val="00FD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08F25"/>
  <w15:chartTrackingRefBased/>
  <w15:docId w15:val="{7E4532EE-BD8A-4CD9-ACC9-041DBA46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0F9"/>
    <w:pPr>
      <w:spacing w:after="0"/>
      <w:ind w:left="0" w:firstLine="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9D6"/>
    <w:pPr>
      <w:tabs>
        <w:tab w:val="center" w:pos="4680"/>
        <w:tab w:val="right" w:pos="9360"/>
      </w:tabs>
    </w:pPr>
  </w:style>
  <w:style w:type="character" w:customStyle="1" w:styleId="HeaderChar">
    <w:name w:val="Header Char"/>
    <w:basedOn w:val="DefaultParagraphFont"/>
    <w:link w:val="Header"/>
    <w:uiPriority w:val="99"/>
    <w:rsid w:val="002779D6"/>
    <w:rPr>
      <w:rFonts w:ascii="Times New Roman" w:eastAsia="Times New Roman" w:hAnsi="Times New Roman" w:cs="Times New Roman"/>
      <w:sz w:val="20"/>
      <w:szCs w:val="20"/>
    </w:rPr>
  </w:style>
  <w:style w:type="paragraph" w:styleId="Footer">
    <w:name w:val="footer"/>
    <w:basedOn w:val="Normal"/>
    <w:link w:val="FooterChar"/>
    <w:unhideWhenUsed/>
    <w:rsid w:val="002779D6"/>
    <w:pPr>
      <w:tabs>
        <w:tab w:val="center" w:pos="4680"/>
        <w:tab w:val="right" w:pos="9360"/>
      </w:tabs>
    </w:pPr>
  </w:style>
  <w:style w:type="character" w:customStyle="1" w:styleId="FooterChar">
    <w:name w:val="Footer Char"/>
    <w:basedOn w:val="DefaultParagraphFont"/>
    <w:link w:val="Footer"/>
    <w:rsid w:val="002779D6"/>
    <w:rPr>
      <w:rFonts w:ascii="Times New Roman" w:eastAsia="Times New Roman" w:hAnsi="Times New Roman" w:cs="Times New Roman"/>
      <w:sz w:val="20"/>
      <w:szCs w:val="20"/>
    </w:rPr>
  </w:style>
  <w:style w:type="character" w:styleId="PageNumber">
    <w:name w:val="page number"/>
    <w:basedOn w:val="DefaultParagraphFont"/>
    <w:rsid w:val="00277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11429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Daily</dc:creator>
  <cp:keywords/>
  <dc:description/>
  <cp:lastModifiedBy>Carol Cunningham</cp:lastModifiedBy>
  <cp:revision>2</cp:revision>
  <dcterms:created xsi:type="dcterms:W3CDTF">2022-01-04T18:09:00Z</dcterms:created>
  <dcterms:modified xsi:type="dcterms:W3CDTF">2022-01-04T18:09:00Z</dcterms:modified>
</cp:coreProperties>
</file>